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D6" w:rsidRDefault="00821537" w:rsidP="00821537">
      <w:pPr>
        <w:jc w:val="center"/>
        <w:rPr>
          <w:b/>
          <w:color w:val="0000FF"/>
          <w:sz w:val="32"/>
          <w:szCs w:val="32"/>
        </w:rPr>
      </w:pPr>
      <w:r w:rsidRPr="002F6989">
        <w:rPr>
          <w:b/>
          <w:color w:val="0000FF"/>
          <w:sz w:val="32"/>
          <w:szCs w:val="32"/>
        </w:rPr>
        <w:t xml:space="preserve">Request form for contract renewal, </w:t>
      </w:r>
      <w:r w:rsidR="00B84BD6">
        <w:rPr>
          <w:b/>
          <w:color w:val="0000FF"/>
          <w:sz w:val="32"/>
          <w:szCs w:val="32"/>
        </w:rPr>
        <w:t xml:space="preserve">contract conversion, </w:t>
      </w:r>
    </w:p>
    <w:p w:rsidR="004D392E" w:rsidRPr="002F6989" w:rsidRDefault="00B84BD6" w:rsidP="00821537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d</w:t>
      </w:r>
      <w:r w:rsidR="00821537" w:rsidRPr="002F6989">
        <w:rPr>
          <w:b/>
          <w:color w:val="0000FF"/>
          <w:sz w:val="32"/>
          <w:szCs w:val="32"/>
        </w:rPr>
        <w:t>irect</w:t>
      </w:r>
      <w:r>
        <w:rPr>
          <w:b/>
          <w:color w:val="0000FF"/>
          <w:sz w:val="32"/>
          <w:szCs w:val="32"/>
        </w:rPr>
        <w:t xml:space="preserve"> h</w:t>
      </w:r>
      <w:r w:rsidR="00821537" w:rsidRPr="002F6989">
        <w:rPr>
          <w:b/>
          <w:color w:val="0000FF"/>
          <w:sz w:val="32"/>
          <w:szCs w:val="32"/>
        </w:rPr>
        <w:t>ire</w:t>
      </w:r>
      <w:r>
        <w:rPr>
          <w:b/>
          <w:color w:val="0000FF"/>
          <w:sz w:val="32"/>
          <w:szCs w:val="32"/>
        </w:rPr>
        <w:t xml:space="preserve"> </w:t>
      </w:r>
      <w:r w:rsidR="00821537" w:rsidRPr="002F6989">
        <w:rPr>
          <w:b/>
          <w:color w:val="0000FF"/>
          <w:sz w:val="32"/>
          <w:szCs w:val="32"/>
        </w:rPr>
        <w:t>and grade reappointment</w:t>
      </w:r>
      <w:r w:rsidR="002F6989" w:rsidRPr="002F6989">
        <w:rPr>
          <w:b/>
          <w:color w:val="0000FF"/>
          <w:sz w:val="32"/>
          <w:szCs w:val="32"/>
        </w:rPr>
        <w:t xml:space="preserve"> </w:t>
      </w:r>
      <w:r w:rsidR="004D392E" w:rsidRPr="002F6989">
        <w:rPr>
          <w:b/>
          <w:color w:val="0000FF"/>
          <w:sz w:val="32"/>
          <w:szCs w:val="32"/>
        </w:rPr>
        <w:t xml:space="preserve">for scientific staff </w:t>
      </w:r>
    </w:p>
    <w:p w:rsidR="00821537" w:rsidRDefault="0082153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2988"/>
        <w:gridCol w:w="6588"/>
      </w:tblGrid>
      <w:tr w:rsidR="00E70FEE" w:rsidTr="008E2653">
        <w:tc>
          <w:tcPr>
            <w:tcW w:w="9576" w:type="dxa"/>
            <w:gridSpan w:val="2"/>
          </w:tcPr>
          <w:p w:rsidR="00E70FEE" w:rsidRPr="002F6989" w:rsidRDefault="00E70FEE">
            <w:pPr>
              <w:rPr>
                <w:b/>
                <w:color w:val="0000FF"/>
                <w:sz w:val="28"/>
                <w:szCs w:val="28"/>
              </w:rPr>
            </w:pPr>
            <w:r w:rsidRPr="002F6989">
              <w:rPr>
                <w:b/>
                <w:color w:val="0000FF"/>
                <w:sz w:val="28"/>
                <w:szCs w:val="28"/>
              </w:rPr>
              <w:t>PART I – Details of Individual</w:t>
            </w:r>
          </w:p>
          <w:p w:rsidR="00E70FEE" w:rsidRPr="00E70FEE" w:rsidRDefault="00E70FEE">
            <w:pPr>
              <w:rPr>
                <w:i/>
              </w:rPr>
            </w:pPr>
            <w:r w:rsidRPr="002F6989">
              <w:rPr>
                <w:i/>
                <w:color w:val="0000FF"/>
              </w:rPr>
              <w:t>(to be completed by staff and/or supervisor)</w:t>
            </w:r>
          </w:p>
        </w:tc>
      </w:tr>
      <w:tr w:rsidR="00821537" w:rsidTr="00E70FEE">
        <w:tc>
          <w:tcPr>
            <w:tcW w:w="2988" w:type="dxa"/>
          </w:tcPr>
          <w:p w:rsidR="00E70FEE" w:rsidRPr="00E70FEE" w:rsidRDefault="00E70FEE">
            <w:r>
              <w:t xml:space="preserve">Name of Staff: </w:t>
            </w:r>
          </w:p>
        </w:tc>
        <w:tc>
          <w:tcPr>
            <w:tcW w:w="6588" w:type="dxa"/>
          </w:tcPr>
          <w:p w:rsidR="00821537" w:rsidRPr="00E70FEE" w:rsidRDefault="00281259">
            <w:r>
              <w:t>Peter Muraya</w:t>
            </w:r>
          </w:p>
        </w:tc>
      </w:tr>
      <w:tr w:rsidR="00821537" w:rsidTr="00E70FEE">
        <w:tc>
          <w:tcPr>
            <w:tcW w:w="2988" w:type="dxa"/>
          </w:tcPr>
          <w:p w:rsidR="00E70FEE" w:rsidRPr="00E70FEE" w:rsidRDefault="00E70FEE">
            <w:r>
              <w:t>Current Position and Grade:</w:t>
            </w:r>
          </w:p>
        </w:tc>
        <w:tc>
          <w:tcPr>
            <w:tcW w:w="6588" w:type="dxa"/>
          </w:tcPr>
          <w:p w:rsidR="00821537" w:rsidRPr="00E70FEE" w:rsidRDefault="00281259">
            <w:r>
              <w:t>P5</w:t>
            </w:r>
          </w:p>
        </w:tc>
      </w:tr>
      <w:tr w:rsidR="00821537" w:rsidTr="00E70FEE">
        <w:tc>
          <w:tcPr>
            <w:tcW w:w="2988" w:type="dxa"/>
          </w:tcPr>
          <w:p w:rsidR="00E70FEE" w:rsidRPr="00E70FEE" w:rsidRDefault="00E70FEE">
            <w:r>
              <w:t>Current Supervisor:</w:t>
            </w:r>
          </w:p>
        </w:tc>
        <w:tc>
          <w:tcPr>
            <w:tcW w:w="6588" w:type="dxa"/>
          </w:tcPr>
          <w:p w:rsidR="00821537" w:rsidRPr="00E70FEE" w:rsidRDefault="00281259">
            <w:r>
              <w:t>Jane Poole</w:t>
            </w:r>
            <w:r w:rsidR="00596D10">
              <w:t xml:space="preserve"> (ILRI, completing this request) &amp; </w:t>
            </w:r>
            <w:smartTag w:uri="urn:schemas-microsoft-com:office:smarttags" w:element="Street">
              <w:smartTag w:uri="urn:schemas-microsoft-com:office:smarttags" w:element="address">
                <w:r w:rsidR="00596D10">
                  <w:t>Frank Place</w:t>
                </w:r>
              </w:smartTag>
            </w:smartTag>
            <w:r w:rsidR="00596D10">
              <w:t xml:space="preserve"> (ICRAF rep)</w:t>
            </w:r>
          </w:p>
        </w:tc>
      </w:tr>
      <w:tr w:rsidR="00821537" w:rsidTr="00E70FEE">
        <w:tc>
          <w:tcPr>
            <w:tcW w:w="2988" w:type="dxa"/>
          </w:tcPr>
          <w:p w:rsidR="0009581D" w:rsidRPr="00E70FEE" w:rsidRDefault="00E70FEE">
            <w:r>
              <w:t>Current Appointment Period</w:t>
            </w:r>
          </w:p>
        </w:tc>
        <w:tc>
          <w:tcPr>
            <w:tcW w:w="6588" w:type="dxa"/>
          </w:tcPr>
          <w:p w:rsidR="00821537" w:rsidRPr="00E70FEE" w:rsidRDefault="00281259">
            <w:r>
              <w:t>1</w:t>
            </w:r>
            <w:r w:rsidRPr="00281259">
              <w:rPr>
                <w:vertAlign w:val="superscript"/>
              </w:rPr>
              <w:t>st</w:t>
            </w:r>
            <w:r>
              <w:t xml:space="preserve"> August 200</w:t>
            </w:r>
            <w:r w:rsidR="0016606E">
              <w:t>9</w:t>
            </w:r>
            <w:r>
              <w:t xml:space="preserve"> – </w:t>
            </w:r>
            <w:r w:rsidR="00BF18B3">
              <w:t>31</w:t>
            </w:r>
            <w:r w:rsidR="00BF18B3" w:rsidRPr="00BF18B3">
              <w:rPr>
                <w:vertAlign w:val="superscript"/>
              </w:rPr>
              <w:t>st</w:t>
            </w:r>
            <w:r w:rsidR="00BF18B3">
              <w:t xml:space="preserve"> </w:t>
            </w:r>
            <w:r>
              <w:t>July 20</w:t>
            </w:r>
            <w:r w:rsidR="0016606E">
              <w:t>10</w:t>
            </w:r>
          </w:p>
        </w:tc>
      </w:tr>
      <w:tr w:rsidR="0009581D" w:rsidTr="00E70FEE">
        <w:tc>
          <w:tcPr>
            <w:tcW w:w="2988" w:type="dxa"/>
          </w:tcPr>
          <w:p w:rsidR="0009581D" w:rsidRDefault="0009581D">
            <w:r>
              <w:t>Total Years at ICRAF:</w:t>
            </w:r>
          </w:p>
        </w:tc>
        <w:tc>
          <w:tcPr>
            <w:tcW w:w="6588" w:type="dxa"/>
          </w:tcPr>
          <w:p w:rsidR="0009581D" w:rsidRPr="00E70FEE" w:rsidRDefault="00281259">
            <w:r>
              <w:t>2</w:t>
            </w:r>
            <w:r w:rsidR="0016606E">
              <w:t>5</w:t>
            </w:r>
          </w:p>
        </w:tc>
      </w:tr>
    </w:tbl>
    <w:p w:rsidR="00821537" w:rsidRDefault="0082153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2988"/>
        <w:gridCol w:w="6588"/>
      </w:tblGrid>
      <w:tr w:rsidR="009D770C" w:rsidRPr="00E70FEE" w:rsidTr="00DE1650">
        <w:tc>
          <w:tcPr>
            <w:tcW w:w="9576" w:type="dxa"/>
            <w:gridSpan w:val="2"/>
          </w:tcPr>
          <w:p w:rsidR="009D770C" w:rsidRPr="002F6989" w:rsidRDefault="009D770C" w:rsidP="00DE1650">
            <w:pPr>
              <w:rPr>
                <w:b/>
                <w:color w:val="0000FF"/>
                <w:sz w:val="28"/>
                <w:szCs w:val="28"/>
              </w:rPr>
            </w:pPr>
            <w:r w:rsidRPr="002F6989">
              <w:rPr>
                <w:b/>
                <w:color w:val="0000FF"/>
                <w:sz w:val="28"/>
                <w:szCs w:val="28"/>
              </w:rPr>
              <w:t>PART II – Details of Proposed Job</w:t>
            </w:r>
          </w:p>
          <w:p w:rsidR="009D770C" w:rsidRPr="00E70FEE" w:rsidRDefault="009D770C" w:rsidP="00DE1650">
            <w:pPr>
              <w:rPr>
                <w:i/>
              </w:rPr>
            </w:pPr>
            <w:r w:rsidRPr="002F6989">
              <w:rPr>
                <w:i/>
                <w:color w:val="0000FF"/>
              </w:rPr>
              <w:t>(to be completed by supervisor)</w:t>
            </w:r>
          </w:p>
        </w:tc>
      </w:tr>
      <w:tr w:rsidR="009D770C" w:rsidRPr="00E70FEE" w:rsidTr="00DE1650">
        <w:tc>
          <w:tcPr>
            <w:tcW w:w="2988" w:type="dxa"/>
          </w:tcPr>
          <w:p w:rsidR="009D770C" w:rsidRPr="00E70FEE" w:rsidRDefault="009D770C" w:rsidP="00DE1650">
            <w:r>
              <w:t>Position Title and Grade:</w:t>
            </w:r>
          </w:p>
        </w:tc>
        <w:tc>
          <w:tcPr>
            <w:tcW w:w="6588" w:type="dxa"/>
          </w:tcPr>
          <w:p w:rsidR="009D770C" w:rsidRPr="00E70FEE" w:rsidRDefault="00BF18B3" w:rsidP="00DE1650">
            <w:r>
              <w:t>Research Data Management Specialist (Grade 5)</w:t>
            </w:r>
          </w:p>
        </w:tc>
      </w:tr>
      <w:tr w:rsidR="009D770C" w:rsidRPr="00E70FEE" w:rsidTr="00DE1650">
        <w:tc>
          <w:tcPr>
            <w:tcW w:w="2988" w:type="dxa"/>
          </w:tcPr>
          <w:p w:rsidR="009D770C" w:rsidRDefault="009D770C" w:rsidP="00DE1650">
            <w:r>
              <w:t>Appointment Period</w:t>
            </w:r>
          </w:p>
          <w:p w:rsidR="009D770C" w:rsidRPr="00E70FEE" w:rsidRDefault="009D770C" w:rsidP="00DE1650">
            <w:r>
              <w:t>Suggested:</w:t>
            </w:r>
          </w:p>
        </w:tc>
        <w:tc>
          <w:tcPr>
            <w:tcW w:w="6588" w:type="dxa"/>
          </w:tcPr>
          <w:p w:rsidR="009D770C" w:rsidRPr="00E70FEE" w:rsidRDefault="00BF18B3" w:rsidP="00DE1650">
            <w:r>
              <w:t>1</w:t>
            </w:r>
            <w:r w:rsidRPr="00BF18B3">
              <w:rPr>
                <w:vertAlign w:val="superscript"/>
              </w:rPr>
              <w:t>st</w:t>
            </w:r>
            <w:r w:rsidR="0016606E">
              <w:t xml:space="preserve"> August 2010</w:t>
            </w:r>
            <w:r>
              <w:t xml:space="preserve"> – 31</w:t>
            </w:r>
            <w:r w:rsidRPr="00BF18B3">
              <w:rPr>
                <w:vertAlign w:val="superscript"/>
              </w:rPr>
              <w:t>st</w:t>
            </w:r>
            <w:r w:rsidR="0016606E">
              <w:t xml:space="preserve"> July 2011</w:t>
            </w:r>
            <w:r>
              <w:t xml:space="preserve"> (1 year)</w:t>
            </w:r>
          </w:p>
        </w:tc>
      </w:tr>
      <w:tr w:rsidR="009D770C" w:rsidRPr="00E70FEE" w:rsidTr="00DE1650">
        <w:tc>
          <w:tcPr>
            <w:tcW w:w="2988" w:type="dxa"/>
          </w:tcPr>
          <w:p w:rsidR="009D770C" w:rsidRDefault="009D770C" w:rsidP="00DE1650">
            <w:r>
              <w:t>Total monthly staff costs ($)</w:t>
            </w:r>
          </w:p>
        </w:tc>
        <w:tc>
          <w:tcPr>
            <w:tcW w:w="6588" w:type="dxa"/>
          </w:tcPr>
          <w:p w:rsidR="009D770C" w:rsidRPr="00E70FEE" w:rsidRDefault="0016606E" w:rsidP="00DE1650">
            <w:r>
              <w:t>$7,507 / month (2010</w:t>
            </w:r>
            <w:r w:rsidR="00BF18B3">
              <w:t>)</w:t>
            </w:r>
          </w:p>
        </w:tc>
      </w:tr>
      <w:tr w:rsidR="009D770C" w:rsidRPr="00E70FEE" w:rsidTr="00DE1650">
        <w:tc>
          <w:tcPr>
            <w:tcW w:w="2988" w:type="dxa"/>
          </w:tcPr>
          <w:p w:rsidR="009D770C" w:rsidRDefault="009D770C" w:rsidP="00DE1650">
            <w:r>
              <w:t>Confirmed Funding Sources:</w:t>
            </w:r>
          </w:p>
        </w:tc>
        <w:tc>
          <w:tcPr>
            <w:tcW w:w="6588" w:type="dxa"/>
          </w:tcPr>
          <w:p w:rsidR="0090172E" w:rsidRDefault="0016606E" w:rsidP="00DE1650">
            <w:r>
              <w:t>2010</w:t>
            </w:r>
            <w:r w:rsidR="00BF18B3">
              <w:t xml:space="preserve"> </w:t>
            </w:r>
          </w:p>
          <w:p w:rsidR="0090172E" w:rsidRDefault="00BF18B3" w:rsidP="0090172E">
            <w:pPr>
              <w:numPr>
                <w:ilvl w:val="0"/>
                <w:numId w:val="3"/>
              </w:numPr>
            </w:pPr>
            <w:r>
              <w:t>3111 RMG3 CORE-01 GBL084 (</w:t>
            </w:r>
            <w:r w:rsidR="0016606E">
              <w:t>10</w:t>
            </w:r>
            <w:r>
              <w:t xml:space="preserve"> months), </w:t>
            </w:r>
          </w:p>
          <w:p w:rsidR="009D770C" w:rsidRDefault="0090172E" w:rsidP="0090172E">
            <w:pPr>
              <w:numPr>
                <w:ilvl w:val="0"/>
                <w:numId w:val="3"/>
              </w:numPr>
            </w:pPr>
            <w:r>
              <w:t xml:space="preserve">FARA798 </w:t>
            </w:r>
            <w:r w:rsidR="00BF18B3">
              <w:t>SSA-CP (2 months)</w:t>
            </w:r>
          </w:p>
          <w:p w:rsidR="0090172E" w:rsidRDefault="009D770C" w:rsidP="00DE1650">
            <w:r>
              <w:t>2010</w:t>
            </w:r>
          </w:p>
          <w:p w:rsidR="00546DB2" w:rsidRDefault="00BF18B3" w:rsidP="00546DB2">
            <w:pPr>
              <w:numPr>
                <w:ilvl w:val="0"/>
                <w:numId w:val="4"/>
              </w:numPr>
            </w:pPr>
            <w:r>
              <w:t xml:space="preserve">3111 </w:t>
            </w:r>
            <w:r w:rsidR="0090172E">
              <w:t>RMG3 CORE-01 GBL084 (</w:t>
            </w:r>
            <w:r w:rsidR="00546DB2">
              <w:t>7</w:t>
            </w:r>
            <w:r w:rsidR="0090172E">
              <w:t xml:space="preserve"> months) </w:t>
            </w:r>
          </w:p>
          <w:p w:rsidR="00546DB2" w:rsidRDefault="00546DB2" w:rsidP="00546DB2">
            <w:r>
              <w:t>For the 1 year period the sub-division of</w:t>
            </w:r>
            <w:r w:rsidR="0016606E">
              <w:t xml:space="preserve"> funds / time is as agreed with Tony Simons in 2009: </w:t>
            </w:r>
          </w:p>
          <w:p w:rsidR="00546DB2" w:rsidRDefault="00546DB2" w:rsidP="00546DB2">
            <w:r>
              <w:t>6 months – 3-4 large projects (funding?)</w:t>
            </w:r>
          </w:p>
          <w:p w:rsidR="00546DB2" w:rsidRDefault="00546DB2" w:rsidP="00546DB2">
            <w:r>
              <w:t>4 months –  Product development (Core funds)</w:t>
            </w:r>
          </w:p>
          <w:p w:rsidR="0016606E" w:rsidRDefault="00546DB2" w:rsidP="00546DB2">
            <w:r>
              <w:t xml:space="preserve">2 months –  RMG (which also has to include institutional </w:t>
            </w:r>
            <w:r>
              <w:lastRenderedPageBreak/>
              <w:t>level support on the RDM policy) (Core funds)</w:t>
            </w:r>
          </w:p>
          <w:p w:rsidR="00546DB2" w:rsidRPr="00E70FEE" w:rsidRDefault="0016606E" w:rsidP="00546DB2">
            <w:r w:rsidRPr="0016606E">
              <w:rPr>
                <w:highlight w:val="red"/>
              </w:rPr>
              <w:t>(to be updated and confirmed when RMG new co-lead is in place – by 31</w:t>
            </w:r>
            <w:r w:rsidRPr="0016606E">
              <w:rPr>
                <w:highlight w:val="red"/>
                <w:vertAlign w:val="superscript"/>
              </w:rPr>
              <w:t>st</w:t>
            </w:r>
            <w:r w:rsidRPr="0016606E">
              <w:rPr>
                <w:highlight w:val="red"/>
              </w:rPr>
              <w:t xml:space="preserve"> April 2010 at the latest)</w:t>
            </w:r>
            <w:r>
              <w:t>:</w:t>
            </w:r>
            <w:r w:rsidR="00546DB2">
              <w:t xml:space="preserve"> </w:t>
            </w:r>
          </w:p>
        </w:tc>
      </w:tr>
      <w:tr w:rsidR="009D770C" w:rsidRPr="00E70FEE" w:rsidTr="00DE1650">
        <w:tc>
          <w:tcPr>
            <w:tcW w:w="2988" w:type="dxa"/>
          </w:tcPr>
          <w:p w:rsidR="009D770C" w:rsidRDefault="009D770C" w:rsidP="00DE1650">
            <w:r>
              <w:lastRenderedPageBreak/>
              <w:t xml:space="preserve">Job Description: </w:t>
            </w:r>
          </w:p>
          <w:p w:rsidR="009D770C" w:rsidRDefault="009D770C" w:rsidP="00DE1650">
            <w:r>
              <w:t>(terms of reference)</w:t>
            </w:r>
          </w:p>
          <w:p w:rsidR="009D770C" w:rsidRDefault="009D770C" w:rsidP="00DE1650"/>
          <w:p w:rsidR="009D770C" w:rsidRDefault="009D770C" w:rsidP="00DE1650"/>
          <w:p w:rsidR="009D770C" w:rsidRDefault="009D770C" w:rsidP="00DE1650"/>
          <w:p w:rsidR="009D770C" w:rsidRDefault="009D770C" w:rsidP="00DE1650"/>
          <w:p w:rsidR="009D770C" w:rsidRDefault="009D770C" w:rsidP="00DE1650"/>
          <w:p w:rsidR="009D770C" w:rsidRDefault="009D770C" w:rsidP="00DE1650"/>
          <w:p w:rsidR="009D770C" w:rsidRDefault="009D770C" w:rsidP="00DE1650"/>
          <w:p w:rsidR="009D770C" w:rsidRDefault="009D770C" w:rsidP="00DE1650"/>
          <w:p w:rsidR="009D770C" w:rsidRDefault="009D770C" w:rsidP="00DE1650"/>
          <w:p w:rsidR="009D770C" w:rsidRDefault="009D770C" w:rsidP="00DE1650"/>
          <w:p w:rsidR="009D770C" w:rsidRDefault="009D770C" w:rsidP="00DE1650"/>
          <w:p w:rsidR="009D770C" w:rsidRDefault="009D770C" w:rsidP="00DE1650"/>
          <w:p w:rsidR="009D770C" w:rsidRPr="00E70FEE" w:rsidRDefault="009D770C" w:rsidP="00DE1650"/>
        </w:tc>
        <w:tc>
          <w:tcPr>
            <w:tcW w:w="6588" w:type="dxa"/>
          </w:tcPr>
          <w:p w:rsidR="009D770C" w:rsidRPr="001D0465" w:rsidRDefault="00B96649" w:rsidP="009334F6">
            <w:pPr>
              <w:jc w:val="both"/>
              <w:rPr>
                <w:b/>
                <w:color w:val="000080"/>
              </w:rPr>
            </w:pPr>
            <w:r w:rsidRPr="001D0465">
              <w:rPr>
                <w:b/>
                <w:color w:val="000080"/>
              </w:rPr>
              <w:t>(Updated for new contract)</w:t>
            </w:r>
          </w:p>
          <w:p w:rsidR="00546DB2" w:rsidRDefault="00546DB2" w:rsidP="009334F6">
            <w:pPr>
              <w:jc w:val="both"/>
            </w:pPr>
            <w:r>
              <w:t>Focus Areas (including time &amp; deliverables)</w:t>
            </w:r>
          </w:p>
          <w:p w:rsidR="009334F6" w:rsidRDefault="00546DB2" w:rsidP="009334F6">
            <w:pPr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9334F6">
              <w:rPr>
                <w:b/>
                <w:color w:val="000000"/>
              </w:rPr>
              <w:t xml:space="preserve">Support to large projects (6 months) </w:t>
            </w:r>
            <w:r w:rsidRPr="009334F6">
              <w:rPr>
                <w:color w:val="000000"/>
              </w:rPr>
              <w:t xml:space="preserve">– designing </w:t>
            </w:r>
            <w:r w:rsidR="009334F6">
              <w:rPr>
                <w:color w:val="000000"/>
              </w:rPr>
              <w:t>of integrated RDM strategies</w:t>
            </w:r>
            <w:r w:rsidRPr="009334F6">
              <w:rPr>
                <w:color w:val="000000"/>
              </w:rPr>
              <w:t>, capacity-building of project data management staff, specific deliverables (e.g. training workshops, designing &amp; implementing data efficiency systems)</w:t>
            </w:r>
          </w:p>
          <w:p w:rsidR="009334F6" w:rsidRDefault="00546DB2" w:rsidP="009334F6">
            <w:pPr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9334F6">
              <w:rPr>
                <w:b/>
                <w:color w:val="000000"/>
              </w:rPr>
              <w:t>Product development (4 months)</w:t>
            </w:r>
            <w:r w:rsidRPr="009334F6">
              <w:rPr>
                <w:color w:val="000000"/>
              </w:rPr>
              <w:t xml:space="preserve"> – somewhat flexible to provide Peter with the intellectual freedom to develop new RDM tools. Deliverables will be packaging these new tools into re-usable products and promoting / sharing these products with projects at ICRAF. </w:t>
            </w:r>
          </w:p>
          <w:p w:rsidR="00546DB2" w:rsidRPr="009334F6" w:rsidRDefault="009334F6" w:rsidP="009334F6">
            <w:pPr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9334F6">
              <w:rPr>
                <w:b/>
                <w:color w:val="000000"/>
              </w:rPr>
              <w:t>RMG (2 months)</w:t>
            </w:r>
            <w:r w:rsidRPr="009334F6">
              <w:rPr>
                <w:color w:val="000000"/>
              </w:rPr>
              <w:t xml:space="preserve"> - I</w:t>
            </w:r>
            <w:r w:rsidR="00546DB2" w:rsidRPr="009334F6">
              <w:rPr>
                <w:color w:val="000000"/>
              </w:rPr>
              <w:t>nstitutional responsibilities</w:t>
            </w:r>
            <w:r w:rsidRPr="009334F6">
              <w:rPr>
                <w:color w:val="000000"/>
              </w:rPr>
              <w:t xml:space="preserve">, principally supporting the implementation of the RDM policy at ICRAF &amp; ILRI. This may also include using the deliverables and outputs from A) and B) above. This area also includes supervisory and guidance support to </w:t>
            </w:r>
            <w:r>
              <w:rPr>
                <w:color w:val="000000"/>
              </w:rPr>
              <w:t>Nicholas Ndiwa (RMG data manag</w:t>
            </w:r>
            <w:r w:rsidRPr="009334F6">
              <w:rPr>
                <w:color w:val="000000"/>
              </w:rPr>
              <w:t>er).</w:t>
            </w:r>
          </w:p>
        </w:tc>
      </w:tr>
    </w:tbl>
    <w:p w:rsidR="009D770C" w:rsidRDefault="009D770C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2988"/>
        <w:gridCol w:w="6588"/>
      </w:tblGrid>
      <w:tr w:rsidR="009D770C" w:rsidTr="00DE1650">
        <w:tc>
          <w:tcPr>
            <w:tcW w:w="9576" w:type="dxa"/>
            <w:gridSpan w:val="2"/>
          </w:tcPr>
          <w:p w:rsidR="009D770C" w:rsidRPr="002F6989" w:rsidRDefault="009D770C" w:rsidP="00DE1650">
            <w:pPr>
              <w:rPr>
                <w:b/>
                <w:color w:val="0000FF"/>
                <w:sz w:val="28"/>
                <w:szCs w:val="28"/>
              </w:rPr>
            </w:pPr>
            <w:r w:rsidRPr="002F6989">
              <w:rPr>
                <w:b/>
                <w:color w:val="0000FF"/>
                <w:sz w:val="28"/>
                <w:szCs w:val="28"/>
              </w:rPr>
              <w:t>Part III – Suitability of Proposed Individual</w:t>
            </w:r>
          </w:p>
          <w:p w:rsidR="009D770C" w:rsidRPr="004D392E" w:rsidRDefault="00CA45F3" w:rsidP="00DE1650">
            <w:pPr>
              <w:rPr>
                <w:i/>
              </w:rPr>
            </w:pPr>
            <w:r w:rsidRPr="002F6989">
              <w:rPr>
                <w:i/>
                <w:color w:val="0000FF"/>
              </w:rPr>
              <w:t>(to be completed by staff</w:t>
            </w:r>
            <w:r w:rsidR="00233C6D">
              <w:rPr>
                <w:i/>
                <w:color w:val="0000FF"/>
              </w:rPr>
              <w:t>, for direct hires just fill in publication and fundraising record)</w:t>
            </w:r>
          </w:p>
        </w:tc>
      </w:tr>
      <w:tr w:rsidR="009D770C" w:rsidTr="00DE1650">
        <w:tc>
          <w:tcPr>
            <w:tcW w:w="2988" w:type="dxa"/>
          </w:tcPr>
          <w:p w:rsidR="009D770C" w:rsidRDefault="009D770C" w:rsidP="00DE1650">
            <w:pPr>
              <w:rPr>
                <w:b/>
              </w:rPr>
            </w:pPr>
            <w:r w:rsidRPr="00091C29">
              <w:rPr>
                <w:b/>
              </w:rPr>
              <w:t>Publication Record</w:t>
            </w:r>
          </w:p>
          <w:p w:rsidR="009D770C" w:rsidRDefault="009D770C" w:rsidP="00DE1650">
            <w:pPr>
              <w:rPr>
                <w:b/>
              </w:rPr>
            </w:pPr>
            <w:r>
              <w:rPr>
                <w:b/>
              </w:rPr>
              <w:t>200</w:t>
            </w:r>
            <w:r w:rsidR="0016606E">
              <w:rPr>
                <w:b/>
              </w:rPr>
              <w:t>7</w:t>
            </w:r>
            <w:r>
              <w:rPr>
                <w:b/>
              </w:rPr>
              <w:t>-200</w:t>
            </w:r>
            <w:r w:rsidR="0016606E">
              <w:rPr>
                <w:b/>
              </w:rPr>
              <w:t>9</w:t>
            </w:r>
          </w:p>
          <w:p w:rsidR="009D770C" w:rsidRPr="00091C29" w:rsidRDefault="009D770C" w:rsidP="00DE1650">
            <w:pPr>
              <w:rPr>
                <w:i/>
              </w:rPr>
            </w:pPr>
            <w:r w:rsidRPr="00091C29">
              <w:rPr>
                <w:i/>
              </w:rPr>
              <w:t>(provide list as annex)</w:t>
            </w:r>
          </w:p>
          <w:p w:rsidR="009D770C" w:rsidRPr="00091C29" w:rsidRDefault="009D770C" w:rsidP="00DE1650">
            <w:pPr>
              <w:rPr>
                <w:b/>
              </w:rPr>
            </w:pPr>
          </w:p>
        </w:tc>
        <w:tc>
          <w:tcPr>
            <w:tcW w:w="6588" w:type="dxa"/>
          </w:tcPr>
          <w:p w:rsidR="009D770C" w:rsidRPr="006C0FB2" w:rsidRDefault="009D770C" w:rsidP="00DE1650">
            <w:pPr>
              <w:rPr>
                <w:b/>
                <w:highlight w:val="yellow"/>
              </w:rPr>
            </w:pPr>
            <w:r w:rsidRPr="006C0FB2">
              <w:rPr>
                <w:b/>
                <w:highlight w:val="yellow"/>
              </w:rPr>
              <w:t xml:space="preserve">Number of articles published </w:t>
            </w:r>
            <w:r w:rsidRPr="006C0FB2">
              <w:rPr>
                <w:b/>
                <w:highlight w:val="yellow"/>
                <w:u w:val="single"/>
              </w:rPr>
              <w:t>200</w:t>
            </w:r>
            <w:r w:rsidR="006C0FB2" w:rsidRPr="006C0FB2">
              <w:rPr>
                <w:b/>
                <w:highlight w:val="yellow"/>
                <w:u w:val="single"/>
              </w:rPr>
              <w:t>7</w:t>
            </w:r>
            <w:r w:rsidRPr="006C0FB2">
              <w:rPr>
                <w:b/>
                <w:highlight w:val="yellow"/>
              </w:rPr>
              <w:t>/</w:t>
            </w:r>
            <w:r w:rsidRPr="006C0FB2">
              <w:rPr>
                <w:b/>
                <w:highlight w:val="yellow"/>
                <w:u w:val="single"/>
              </w:rPr>
              <w:t>200</w:t>
            </w:r>
            <w:r w:rsidR="006C0FB2" w:rsidRPr="006C0FB2">
              <w:rPr>
                <w:b/>
                <w:highlight w:val="yellow"/>
                <w:u w:val="single"/>
              </w:rPr>
              <w:t>8</w:t>
            </w:r>
            <w:r w:rsidRPr="006C0FB2">
              <w:rPr>
                <w:b/>
                <w:highlight w:val="yellow"/>
              </w:rPr>
              <w:t>/</w:t>
            </w:r>
            <w:r w:rsidRPr="006C0FB2">
              <w:rPr>
                <w:b/>
                <w:highlight w:val="yellow"/>
                <w:u w:val="single"/>
              </w:rPr>
              <w:t>200</w:t>
            </w:r>
            <w:r w:rsidR="006C0FB2" w:rsidRPr="006C0FB2">
              <w:rPr>
                <w:b/>
                <w:highlight w:val="yellow"/>
                <w:u w:val="single"/>
              </w:rPr>
              <w:t>9</w:t>
            </w:r>
            <w:r w:rsidRPr="006C0FB2">
              <w:rPr>
                <w:b/>
                <w:highlight w:val="yellow"/>
              </w:rPr>
              <w:t>:</w:t>
            </w:r>
          </w:p>
          <w:p w:rsidR="009D770C" w:rsidRPr="006C0FB2" w:rsidRDefault="009D770C" w:rsidP="00DE1650">
            <w:pPr>
              <w:rPr>
                <w:highlight w:val="yellow"/>
              </w:rPr>
            </w:pPr>
            <w:r w:rsidRPr="006C0FB2">
              <w:rPr>
                <w:highlight w:val="yellow"/>
              </w:rPr>
              <w:t>Senior author refereed articles ___/___/___</w:t>
            </w:r>
          </w:p>
          <w:p w:rsidR="009D770C" w:rsidRPr="006C0FB2" w:rsidRDefault="009D770C" w:rsidP="00DE1650">
            <w:pPr>
              <w:rPr>
                <w:highlight w:val="yellow"/>
              </w:rPr>
            </w:pPr>
            <w:r w:rsidRPr="006C0FB2">
              <w:rPr>
                <w:highlight w:val="yellow"/>
              </w:rPr>
              <w:t>Co-author refereed articles ___/</w:t>
            </w:r>
            <w:r w:rsidR="00905B94" w:rsidRPr="006C0FB2">
              <w:rPr>
                <w:highlight w:val="yellow"/>
              </w:rPr>
              <w:t xml:space="preserve"> 1  </w:t>
            </w:r>
            <w:r w:rsidRPr="006C0FB2">
              <w:rPr>
                <w:highlight w:val="yellow"/>
              </w:rPr>
              <w:t>/___</w:t>
            </w:r>
          </w:p>
          <w:p w:rsidR="009D770C" w:rsidRPr="006C0FB2" w:rsidRDefault="009D770C" w:rsidP="00DE1650">
            <w:pPr>
              <w:rPr>
                <w:highlight w:val="yellow"/>
              </w:rPr>
            </w:pPr>
            <w:r w:rsidRPr="006C0FB2">
              <w:rPr>
                <w:highlight w:val="yellow"/>
              </w:rPr>
              <w:t>Senior author non-refereed articles ___/</w:t>
            </w:r>
            <w:r w:rsidR="00905B94" w:rsidRPr="006C0FB2">
              <w:rPr>
                <w:highlight w:val="yellow"/>
              </w:rPr>
              <w:t xml:space="preserve"> 5 </w:t>
            </w:r>
            <w:r w:rsidRPr="006C0FB2">
              <w:rPr>
                <w:highlight w:val="yellow"/>
              </w:rPr>
              <w:t>/</w:t>
            </w:r>
            <w:r w:rsidR="00905B94" w:rsidRPr="006C0FB2">
              <w:rPr>
                <w:highlight w:val="yellow"/>
              </w:rPr>
              <w:t xml:space="preserve"> 3</w:t>
            </w:r>
          </w:p>
          <w:p w:rsidR="009D770C" w:rsidRPr="00E70FEE" w:rsidRDefault="009D770C" w:rsidP="005B7B8A">
            <w:r w:rsidRPr="006C0FB2">
              <w:rPr>
                <w:highlight w:val="yellow"/>
              </w:rPr>
              <w:t>Co-author non-refereed articles ___/</w:t>
            </w:r>
            <w:r w:rsidR="00905B94" w:rsidRPr="006C0FB2">
              <w:rPr>
                <w:highlight w:val="yellow"/>
              </w:rPr>
              <w:t xml:space="preserve"> 2 </w:t>
            </w:r>
            <w:r w:rsidRPr="006C0FB2">
              <w:rPr>
                <w:highlight w:val="yellow"/>
              </w:rPr>
              <w:t>/</w:t>
            </w:r>
            <w:r w:rsidR="005B7B8A">
              <w:rPr>
                <w:highlight w:val="yellow"/>
              </w:rPr>
              <w:t>1</w:t>
            </w:r>
          </w:p>
        </w:tc>
      </w:tr>
      <w:tr w:rsidR="009D770C" w:rsidTr="00DE1650">
        <w:tc>
          <w:tcPr>
            <w:tcW w:w="2988" w:type="dxa"/>
          </w:tcPr>
          <w:p w:rsidR="009D770C" w:rsidRPr="009D770C" w:rsidRDefault="009D770C" w:rsidP="00DE1650">
            <w:pPr>
              <w:rPr>
                <w:b/>
              </w:rPr>
            </w:pPr>
            <w:r>
              <w:t xml:space="preserve"> </w:t>
            </w:r>
            <w:r w:rsidRPr="009D770C">
              <w:rPr>
                <w:b/>
              </w:rPr>
              <w:t xml:space="preserve">Staff </w:t>
            </w:r>
            <w:r>
              <w:rPr>
                <w:b/>
              </w:rPr>
              <w:t>Budget</w:t>
            </w:r>
            <w:r w:rsidRPr="009D770C">
              <w:rPr>
                <w:b/>
              </w:rPr>
              <w:t xml:space="preserve"> Record</w:t>
            </w:r>
          </w:p>
          <w:p w:rsidR="009D770C" w:rsidRPr="00E70FEE" w:rsidRDefault="009D770C" w:rsidP="00DE1650">
            <w:r w:rsidRPr="009D770C">
              <w:rPr>
                <w:b/>
              </w:rPr>
              <w:lastRenderedPageBreak/>
              <w:t>200</w:t>
            </w:r>
            <w:r w:rsidR="0016606E">
              <w:rPr>
                <w:b/>
              </w:rPr>
              <w:t>8</w:t>
            </w:r>
            <w:r w:rsidRPr="009D770C">
              <w:rPr>
                <w:b/>
              </w:rPr>
              <w:t>-20</w:t>
            </w:r>
            <w:r w:rsidR="0016606E">
              <w:rPr>
                <w:b/>
              </w:rPr>
              <w:t>10</w:t>
            </w:r>
          </w:p>
        </w:tc>
        <w:tc>
          <w:tcPr>
            <w:tcW w:w="6588" w:type="dxa"/>
          </w:tcPr>
          <w:p w:rsidR="009D770C" w:rsidRDefault="009D770C" w:rsidP="00DE1650">
            <w:pPr>
              <w:rPr>
                <w:b/>
              </w:rPr>
            </w:pPr>
            <w:r w:rsidRPr="009D770C">
              <w:rPr>
                <w:b/>
              </w:rPr>
              <w:lastRenderedPageBreak/>
              <w:t xml:space="preserve">Number of </w:t>
            </w:r>
            <w:r>
              <w:rPr>
                <w:b/>
              </w:rPr>
              <w:t xml:space="preserve">staff </w:t>
            </w:r>
            <w:r w:rsidRPr="009D770C">
              <w:rPr>
                <w:b/>
              </w:rPr>
              <w:t xml:space="preserve">months covered by restricted projects </w:t>
            </w:r>
          </w:p>
          <w:p w:rsidR="009D770C" w:rsidRPr="009D770C" w:rsidRDefault="00290674" w:rsidP="00DE1650">
            <w:r>
              <w:lastRenderedPageBreak/>
              <w:t>200</w:t>
            </w:r>
            <w:r w:rsidR="0016606E">
              <w:t>8</w:t>
            </w:r>
            <w:r w:rsidR="009D770C" w:rsidRPr="009D770C">
              <w:t>:</w:t>
            </w:r>
            <w:r w:rsidR="0036002B">
              <w:t xml:space="preserve"> 0</w:t>
            </w:r>
          </w:p>
          <w:p w:rsidR="009D770C" w:rsidRPr="009D770C" w:rsidRDefault="009D770C" w:rsidP="00DE1650">
            <w:r w:rsidRPr="009D770C">
              <w:t>200</w:t>
            </w:r>
            <w:r w:rsidR="0016606E">
              <w:t>9</w:t>
            </w:r>
            <w:r w:rsidRPr="009D770C">
              <w:t>:</w:t>
            </w:r>
            <w:r w:rsidR="0016606E">
              <w:t xml:space="preserve"> 2 months</w:t>
            </w:r>
          </w:p>
          <w:p w:rsidR="009D770C" w:rsidRPr="009D770C" w:rsidRDefault="0016606E" w:rsidP="00DE1650">
            <w:pPr>
              <w:rPr>
                <w:b/>
              </w:rPr>
            </w:pPr>
            <w:r>
              <w:t>2010</w:t>
            </w:r>
            <w:r w:rsidR="009D770C" w:rsidRPr="009D770C">
              <w:t>:</w:t>
            </w:r>
            <w:r w:rsidR="0036002B">
              <w:t xml:space="preserve"> 2</w:t>
            </w:r>
            <w:r w:rsidR="00BF18B3">
              <w:t xml:space="preserve"> months</w:t>
            </w:r>
          </w:p>
        </w:tc>
      </w:tr>
      <w:tr w:rsidR="009D770C" w:rsidTr="00DE1650">
        <w:tc>
          <w:tcPr>
            <w:tcW w:w="2988" w:type="dxa"/>
          </w:tcPr>
          <w:p w:rsidR="009D770C" w:rsidRPr="009D770C" w:rsidRDefault="009D770C" w:rsidP="00DE1650">
            <w:pPr>
              <w:rPr>
                <w:b/>
              </w:rPr>
            </w:pPr>
            <w:r w:rsidRPr="009D770C">
              <w:rPr>
                <w:b/>
              </w:rPr>
              <w:lastRenderedPageBreak/>
              <w:t>Fundraising Record</w:t>
            </w:r>
          </w:p>
          <w:p w:rsidR="009D770C" w:rsidRPr="00D07EC9" w:rsidRDefault="009D770C" w:rsidP="00DE1650">
            <w:pPr>
              <w:rPr>
                <w:b/>
              </w:rPr>
            </w:pPr>
            <w:r w:rsidRPr="009D770C">
              <w:rPr>
                <w:b/>
              </w:rPr>
              <w:t>200</w:t>
            </w:r>
            <w:r w:rsidR="006C0FB2">
              <w:rPr>
                <w:b/>
              </w:rPr>
              <w:t>8</w:t>
            </w:r>
            <w:r w:rsidRPr="009D770C">
              <w:rPr>
                <w:b/>
              </w:rPr>
              <w:t>-20</w:t>
            </w:r>
            <w:r w:rsidR="006C0FB2">
              <w:rPr>
                <w:b/>
              </w:rPr>
              <w:t>10</w:t>
            </w:r>
          </w:p>
        </w:tc>
        <w:tc>
          <w:tcPr>
            <w:tcW w:w="6588" w:type="dxa"/>
          </w:tcPr>
          <w:p w:rsidR="0036002B" w:rsidRPr="00E70FEE" w:rsidRDefault="0036002B" w:rsidP="00DE1650">
            <w:r>
              <w:t xml:space="preserve">Sub-Saharan </w:t>
            </w:r>
            <w:smartTag w:uri="urn:schemas-microsoft-com:office:smarttags" w:element="place">
              <w:r>
                <w:t>Africa</w:t>
              </w:r>
            </w:smartTag>
            <w:r>
              <w:t xml:space="preserve"> Challenge Program</w:t>
            </w:r>
            <w:r w:rsidR="00BF18B3">
              <w:t xml:space="preserve"> (SSA-CP)</w:t>
            </w:r>
            <w:r>
              <w:t xml:space="preserve"> – Data Management Support</w:t>
            </w:r>
          </w:p>
        </w:tc>
      </w:tr>
      <w:tr w:rsidR="009D770C" w:rsidTr="00DE1650">
        <w:tc>
          <w:tcPr>
            <w:tcW w:w="2988" w:type="dxa"/>
          </w:tcPr>
          <w:p w:rsidR="009D770C" w:rsidRPr="009D770C" w:rsidRDefault="009D770C" w:rsidP="00DE1650">
            <w:pPr>
              <w:rPr>
                <w:b/>
              </w:rPr>
            </w:pPr>
            <w:r w:rsidRPr="009D770C">
              <w:rPr>
                <w:b/>
              </w:rPr>
              <w:t>Other individuals  supervised</w:t>
            </w:r>
          </w:p>
        </w:tc>
        <w:tc>
          <w:tcPr>
            <w:tcW w:w="6588" w:type="dxa"/>
          </w:tcPr>
          <w:p w:rsidR="009D770C" w:rsidRPr="009D770C" w:rsidRDefault="009D770C" w:rsidP="00DE1650">
            <w:pPr>
              <w:rPr>
                <w:u w:val="single"/>
              </w:rPr>
            </w:pPr>
            <w:r w:rsidRPr="009D770C">
              <w:rPr>
                <w:u w:val="single"/>
              </w:rPr>
              <w:t>Staff</w:t>
            </w:r>
          </w:p>
          <w:p w:rsidR="005B7B8A" w:rsidRDefault="005B7B8A" w:rsidP="005B7B8A">
            <w:r>
              <w:t>Valentine Karari</w:t>
            </w:r>
          </w:p>
          <w:p w:rsidR="005B7B8A" w:rsidRDefault="005B7B8A" w:rsidP="005B7B8A">
            <w:r>
              <w:t>Abedinego Kiwia</w:t>
            </w:r>
          </w:p>
          <w:p w:rsidR="009D770C" w:rsidRDefault="0036002B" w:rsidP="00DE1650">
            <w:r>
              <w:t>Paul Maina</w:t>
            </w:r>
            <w:r w:rsidR="00BF18B3">
              <w:t xml:space="preserve"> (ICRAF temporary staff)</w:t>
            </w:r>
          </w:p>
          <w:p w:rsidR="0036002B" w:rsidRDefault="0036002B" w:rsidP="00DE1650">
            <w:r>
              <w:t>Charles Masson</w:t>
            </w:r>
            <w:r w:rsidR="00BF18B3">
              <w:t xml:space="preserve"> (ICRAF temporary staff)</w:t>
            </w:r>
          </w:p>
          <w:p w:rsidR="009D770C" w:rsidRDefault="009D770C" w:rsidP="00DE1650"/>
          <w:p w:rsidR="009D770C" w:rsidRPr="009D770C" w:rsidRDefault="009D770C" w:rsidP="00DE1650">
            <w:pPr>
              <w:rPr>
                <w:u w:val="single"/>
              </w:rPr>
            </w:pPr>
            <w:r w:rsidRPr="009D770C">
              <w:rPr>
                <w:u w:val="single"/>
              </w:rPr>
              <w:t>Students</w:t>
            </w:r>
            <w:r w:rsidR="00424F5E">
              <w:rPr>
                <w:u w:val="single"/>
              </w:rPr>
              <w:t>: Topics</w:t>
            </w:r>
          </w:p>
          <w:p w:rsidR="009D770C" w:rsidRDefault="0036002B" w:rsidP="00DE1650">
            <w:r>
              <w:t xml:space="preserve">Simon </w:t>
            </w:r>
            <w:r w:rsidR="00C94431">
              <w:t xml:space="preserve">K. </w:t>
            </w:r>
            <w:r>
              <w:t>Mbuthia</w:t>
            </w:r>
            <w:r w:rsidR="00424F5E">
              <w:t>: Implementing the Data Policy</w:t>
            </w:r>
          </w:p>
          <w:p w:rsidR="00C67CCC" w:rsidRDefault="00C67CCC" w:rsidP="00DE1650">
            <w:r>
              <w:t>Ruth Githaiga</w:t>
            </w:r>
            <w:r w:rsidR="00424F5E">
              <w:t>: Combiling Research Data management Resources</w:t>
            </w:r>
          </w:p>
          <w:p w:rsidR="00424F5E" w:rsidRPr="00424F5E" w:rsidRDefault="00424F5E" w:rsidP="00DE1650">
            <w:r>
              <w:t xml:space="preserve">John Gacheru: </w:t>
            </w:r>
            <w:r w:rsidRPr="00424F5E">
              <w:t>Data publishing</w:t>
            </w:r>
            <w:r>
              <w:t xml:space="preserve"> - </w:t>
            </w:r>
            <w:r w:rsidRPr="00424F5E">
              <w:t>A checklist</w:t>
            </w:r>
          </w:p>
          <w:p w:rsidR="0036002B" w:rsidRPr="00424F5E" w:rsidRDefault="0036002B" w:rsidP="00DE1650">
            <w:r>
              <w:t>Karin</w:t>
            </w:r>
            <w:r w:rsidR="00905B94">
              <w:t xml:space="preserve">e </w:t>
            </w:r>
            <w:r w:rsidR="00905B94" w:rsidRPr="00905B94">
              <w:t>Ogoonoum Noel</w:t>
            </w:r>
            <w:r w:rsidR="00424F5E">
              <w:t xml:space="preserve">: </w:t>
            </w:r>
            <w:r w:rsidR="00424F5E" w:rsidRPr="00424F5E">
              <w:t>Advanced metadata management</w:t>
            </w:r>
          </w:p>
          <w:p w:rsidR="00C94431" w:rsidRDefault="00C94431" w:rsidP="00DE1650">
            <w:r>
              <w:t>Kisia Sharon</w:t>
            </w:r>
            <w:r w:rsidR="00424F5E">
              <w:t>: Dat</w:t>
            </w:r>
            <w:r w:rsidR="005B7B8A">
              <w:t>a</w:t>
            </w:r>
            <w:r w:rsidR="00424F5E">
              <w:t xml:space="preserve"> Management Monitoring system</w:t>
            </w:r>
          </w:p>
          <w:p w:rsidR="00C94431" w:rsidRDefault="00C94431" w:rsidP="00DE1650">
            <w:smartTag w:uri="urn:schemas-microsoft-com:office:smarttags" w:element="country-region">
              <w:smartTag w:uri="urn:schemas-microsoft-com:office:smarttags" w:element="place">
                <w:r>
                  <w:t>Lydia</w:t>
                </w:r>
              </w:smartTag>
            </w:smartTag>
            <w:r>
              <w:t xml:space="preserve"> Mukii Nguti</w:t>
            </w:r>
            <w:r w:rsidR="00424F5E">
              <w:t>: Rapid acquisition of meta-data</w:t>
            </w:r>
          </w:p>
          <w:p w:rsidR="009D770C" w:rsidRDefault="00AC6763" w:rsidP="00DE1650">
            <w:r>
              <w:t>Elizabeth</w:t>
            </w:r>
            <w:r w:rsidR="00BF18B3">
              <w:t xml:space="preserve"> </w:t>
            </w:r>
            <w:r w:rsidR="00C94431">
              <w:t xml:space="preserve"> Karingithi</w:t>
            </w:r>
            <w:r w:rsidR="00424F5E">
              <w:t>: Archiving Data GRP6</w:t>
            </w:r>
          </w:p>
          <w:p w:rsidR="00424F5E" w:rsidRDefault="00424F5E" w:rsidP="00DE1650">
            <w:r>
              <w:t>Charles Masson: Data acquisition Templates</w:t>
            </w:r>
          </w:p>
          <w:p w:rsidR="005B7B8A" w:rsidRDefault="005B7B8A" w:rsidP="00DE1650">
            <w:r>
              <w:t>Elizabeth Ndegwa: Archiving GRP6 Data</w:t>
            </w:r>
          </w:p>
          <w:p w:rsidR="005B7B8A" w:rsidRDefault="005B7B8A" w:rsidP="00DE1650">
            <w:r>
              <w:t>Jack Odiege: Refining the Data Loader Algorithm</w:t>
            </w:r>
          </w:p>
          <w:p w:rsidR="006C0FB2" w:rsidRPr="00E70FEE" w:rsidRDefault="006C0FB2" w:rsidP="00DE1650"/>
        </w:tc>
      </w:tr>
      <w:tr w:rsidR="009D770C" w:rsidTr="00DE1650">
        <w:tc>
          <w:tcPr>
            <w:tcW w:w="2988" w:type="dxa"/>
          </w:tcPr>
          <w:p w:rsidR="009D770C" w:rsidRPr="009D770C" w:rsidRDefault="009D770C" w:rsidP="00DE1650">
            <w:pPr>
              <w:rPr>
                <w:b/>
              </w:rPr>
            </w:pPr>
            <w:r w:rsidRPr="006C0FB2">
              <w:rPr>
                <w:b/>
                <w:highlight w:val="yellow"/>
              </w:rPr>
              <w:t>Partnerships developed and maintained</w:t>
            </w:r>
          </w:p>
        </w:tc>
        <w:tc>
          <w:tcPr>
            <w:tcW w:w="6588" w:type="dxa"/>
          </w:tcPr>
          <w:p w:rsidR="009D770C" w:rsidRDefault="0036002B" w:rsidP="00DE1650">
            <w:r>
              <w:t>FARA</w:t>
            </w:r>
            <w:r w:rsidR="00BF18B3">
              <w:t xml:space="preserve"> (via the SSA-CP)</w:t>
            </w:r>
            <w:r w:rsidR="00ED1545">
              <w:t>; Adekunle Adewale</w:t>
            </w:r>
          </w:p>
          <w:p w:rsidR="003A5587" w:rsidRDefault="003A5587" w:rsidP="00DE1650">
            <w:r>
              <w:t>WMO/Kenya Meteorological Department</w:t>
            </w:r>
            <w:r w:rsidR="00ED1545">
              <w:t xml:space="preserve">; </w:t>
            </w:r>
            <w:r w:rsidR="0035666D">
              <w:t xml:space="preserve">Samuel </w:t>
            </w:r>
            <w:r w:rsidR="00ED1545">
              <w:t>Machua</w:t>
            </w:r>
          </w:p>
          <w:p w:rsidR="003A5587" w:rsidRDefault="003A5587" w:rsidP="00DE1650">
            <w:r>
              <w:t>KARI/NARL</w:t>
            </w:r>
            <w:r w:rsidR="00ED1545">
              <w:t xml:space="preserve">;  </w:t>
            </w:r>
            <w:r w:rsidR="00905B94">
              <w:t xml:space="preserve">J. </w:t>
            </w:r>
            <w:r w:rsidR="00ED1545">
              <w:t>Ayanga</w:t>
            </w:r>
          </w:p>
          <w:p w:rsidR="003A5587" w:rsidRDefault="003A5587" w:rsidP="00DE1650">
            <w:r>
              <w:t xml:space="preserve">Statistical </w:t>
            </w:r>
            <w:smartTag w:uri="urn:schemas-microsoft-com:office:smarttags" w:element="place">
              <w:smartTag w:uri="urn:schemas-microsoft-com:office:smarttags" w:element="PlaceName">
                <w:r>
                  <w:t>Services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– Reading University</w:t>
            </w:r>
            <w:r w:rsidR="00ED1545">
              <w:t>; Roger Stern</w:t>
            </w:r>
            <w:r w:rsidR="0035666D">
              <w:t>, Cath</w:t>
            </w:r>
            <w:r w:rsidR="0094052D">
              <w:t>y</w:t>
            </w:r>
            <w:r w:rsidR="0035666D">
              <w:t xml:space="preserve"> Garlick</w:t>
            </w:r>
          </w:p>
          <w:p w:rsidR="003A5587" w:rsidRDefault="003A5587" w:rsidP="00DE1650">
            <w:smartTag w:uri="urn:schemas-microsoft-com:office:smarttags" w:element="place">
              <w:smartTag w:uri="urn:schemas-microsoft-com:office:smarttags" w:element="PlaceTyp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Nairobi</w:t>
                </w:r>
              </w:smartTag>
            </w:smartTag>
            <w:r>
              <w:t xml:space="preserve"> (Bucs)</w:t>
            </w:r>
            <w:r w:rsidR="0094052D">
              <w:t>;</w:t>
            </w:r>
            <w:r w:rsidR="00ED1545">
              <w:t xml:space="preserve"> Parin Kurji</w:t>
            </w:r>
          </w:p>
          <w:p w:rsidR="003A5587" w:rsidRDefault="003A5587" w:rsidP="00DE1650">
            <w:smartTag w:uri="urn:schemas-microsoft-com:office:smarttags" w:element="country-region">
              <w:smartTag w:uri="urn:schemas-microsoft-com:office:smarttags" w:element="place">
                <w:r>
                  <w:t>Uganda</w:t>
                </w:r>
              </w:smartTag>
            </w:smartTag>
            <w:r>
              <w:t xml:space="preserve"> National Banana Program</w:t>
            </w:r>
            <w:r w:rsidR="0094052D">
              <w:t>;</w:t>
            </w:r>
            <w:r w:rsidR="00ED1545">
              <w:t xml:space="preserve"> Tush</w:t>
            </w:r>
            <w:r w:rsidR="0035666D">
              <w:t>muriogedo</w:t>
            </w:r>
          </w:p>
          <w:p w:rsidR="003A5587" w:rsidRDefault="003A5587" w:rsidP="00DE1650">
            <w:smartTag w:uri="urn:schemas-microsoft-com:office:smarttags" w:element="country-region">
              <w:r>
                <w:t>Ugand</w:t>
              </w:r>
              <w:r w:rsidR="00ED1545">
                <w:t>a</w:t>
              </w:r>
            </w:smartTag>
            <w:r w:rsidR="00ED1545">
              <w:t xml:space="preserve"> National Bureau of Statistics</w:t>
            </w:r>
            <w:r w:rsidR="0094052D">
              <w:t>;</w:t>
            </w:r>
            <w:r w:rsidR="0035666D"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="0035666D">
                  <w:t>Antony</w:t>
                </w:r>
              </w:smartTag>
            </w:smartTag>
            <w:r w:rsidR="0035666D">
              <w:t xml:space="preserve"> Matovu, Thomas Emwanu</w:t>
            </w:r>
          </w:p>
          <w:p w:rsidR="003A5587" w:rsidRPr="00ED1545" w:rsidRDefault="00722EB0" w:rsidP="00DE1650">
            <w:smartTag w:uri="urn:schemas-microsoft-com:office:smarttags" w:element="place">
              <w:smartTag w:uri="urn:schemas-microsoft-com:office:smarttags" w:element="country-region">
                <w:r w:rsidRPr="00ED1545">
                  <w:t>Kenya</w:t>
                </w:r>
              </w:smartTag>
            </w:smartTag>
            <w:r w:rsidRPr="00ED1545">
              <w:t xml:space="preserve"> Network for Dissemination of Agricultural Technologies (KENDAT)</w:t>
            </w:r>
            <w:r w:rsidR="00ED1545" w:rsidRPr="00ED1545">
              <w:t>; Titus Musyoka</w:t>
            </w:r>
          </w:p>
          <w:p w:rsidR="00ED1545" w:rsidRDefault="0094052D" w:rsidP="00DE1650">
            <w:r>
              <w:t>KEFRI; Vincent Oe</w:t>
            </w:r>
            <w:r w:rsidR="00ED1545" w:rsidRPr="00ED1545">
              <w:t>ba</w:t>
            </w:r>
          </w:p>
          <w:p w:rsidR="009D770C" w:rsidRPr="00E70FEE" w:rsidRDefault="009D770C" w:rsidP="00DE1650"/>
        </w:tc>
      </w:tr>
      <w:tr w:rsidR="00575896" w:rsidTr="00DE1650">
        <w:tc>
          <w:tcPr>
            <w:tcW w:w="2988" w:type="dxa"/>
          </w:tcPr>
          <w:p w:rsidR="00575896" w:rsidRDefault="00575896" w:rsidP="00DE1650">
            <w:pPr>
              <w:rPr>
                <w:b/>
              </w:rPr>
            </w:pPr>
            <w:r w:rsidRPr="006C0FB2">
              <w:rPr>
                <w:b/>
                <w:highlight w:val="yellow"/>
              </w:rPr>
              <w:t>Major impact of your work and other contributions to centre’s agenda</w:t>
            </w:r>
          </w:p>
          <w:p w:rsidR="00575896" w:rsidRDefault="00575896" w:rsidP="00DE1650">
            <w:pPr>
              <w:rPr>
                <w:b/>
              </w:rPr>
            </w:pPr>
          </w:p>
          <w:p w:rsidR="00575896" w:rsidRPr="009D770C" w:rsidRDefault="00575896" w:rsidP="00DE1650">
            <w:pPr>
              <w:rPr>
                <w:b/>
              </w:rPr>
            </w:pPr>
          </w:p>
        </w:tc>
        <w:tc>
          <w:tcPr>
            <w:tcW w:w="6588" w:type="dxa"/>
          </w:tcPr>
          <w:p w:rsidR="00BE2FBD" w:rsidRDefault="0035666D" w:rsidP="00DE1650">
            <w:r>
              <w:t>The major impact of my work has been strengthening partnership with NARS (see list &amp; contacts of institutions above) b</w:t>
            </w:r>
            <w:r w:rsidR="0094052D">
              <w:t>y providing requested support</w:t>
            </w:r>
            <w:r>
              <w:t xml:space="preserve"> for data management – using methods that have been developed by working closely with ICRAF researchers.</w:t>
            </w:r>
            <w:r w:rsidR="00F032F5">
              <w:t xml:space="preserve"> For instance: (a) The Logbook method, developed by supporting ICRAF work in field experimentation, and still being used by the Soils &amp; Plant lab,  was the key ingredient to most collaboration</w:t>
            </w:r>
            <w:r w:rsidR="00BE2FBD">
              <w:t xml:space="preserve"> with NARS</w:t>
            </w:r>
            <w:r w:rsidR="00F032F5">
              <w:t>. (b) The ‘file property’ method developed for ASB and the Lake Victoria</w:t>
            </w:r>
            <w:r w:rsidR="00BE2FBD">
              <w:t xml:space="preserve"> Management project</w:t>
            </w:r>
            <w:r w:rsidR="00F032F5">
              <w:t xml:space="preserve"> (Transvic) has been driving our current approach to institute-wide data arching and access</w:t>
            </w:r>
            <w:r w:rsidR="00BE2FBD">
              <w:t xml:space="preserve"> as specified in the data management policy</w:t>
            </w:r>
            <w:r w:rsidR="00F032F5">
              <w:t>. (c) The ‘smart form’ method for survey data collection -- developed by working with Nicholas Ndiwa, Simitu Pa</w:t>
            </w:r>
            <w:r w:rsidR="0094052D">
              <w:t>r</w:t>
            </w:r>
            <w:r w:rsidR="00F032F5">
              <w:t>nwell, Sala</w:t>
            </w:r>
            <w:r w:rsidR="0094052D">
              <w:t xml:space="preserve"> Rantalla</w:t>
            </w:r>
            <w:r w:rsidR="00F032F5">
              <w:t xml:space="preserve">, and Mikkel Grum -- is now </w:t>
            </w:r>
            <w:r w:rsidR="00BE2FBD">
              <w:t xml:space="preserve">in use by over 100 scientists and partners in </w:t>
            </w:r>
            <w:r w:rsidR="00F032F5">
              <w:t>the Sub-Saharan Africa Challenge program</w:t>
            </w:r>
            <w:r w:rsidR="00BE2FBD">
              <w:t>. Following our last 2 seminars both at ILRI and ICRAF, we expect an even bigger impact, in terms of how researchers manage their data for quality, efficiency and access</w:t>
            </w:r>
          </w:p>
          <w:p w:rsidR="00BE2FBD" w:rsidRDefault="00BE2FBD" w:rsidP="00DE1650"/>
          <w:p w:rsidR="00C42D10" w:rsidRDefault="00BE2FBD" w:rsidP="00DE1650">
            <w:r>
              <w:t>The potential impact for our work is larger than actually experienced by anyone I have not worked with directly, largely due to the way I work. I</w:t>
            </w:r>
            <w:r w:rsidR="00D07EC9">
              <w:t xml:space="preserve"> use</w:t>
            </w:r>
            <w:r w:rsidR="0097108B">
              <w:t xml:space="preserve"> two modes of supporting RDM</w:t>
            </w:r>
            <w:r w:rsidR="006D171D">
              <w:t>: reactive</w:t>
            </w:r>
            <w:r w:rsidR="0097108B">
              <w:t xml:space="preserve"> (ad</w:t>
            </w:r>
            <w:r w:rsidR="00D07EC9">
              <w:t>-</w:t>
            </w:r>
            <w:r w:rsidR="0097108B">
              <w:t xml:space="preserve">hoc </w:t>
            </w:r>
            <w:r w:rsidR="00D07EC9">
              <w:t xml:space="preserve">/ </w:t>
            </w:r>
            <w:r w:rsidR="0097108B">
              <w:t>any time</w:t>
            </w:r>
            <w:r w:rsidR="006D171D">
              <w:t xml:space="preserve">) and </w:t>
            </w:r>
            <w:r w:rsidR="00D07EC9">
              <w:t>pro-active,</w:t>
            </w:r>
            <w:r w:rsidR="0097108B">
              <w:t xml:space="preserve"> </w:t>
            </w:r>
            <w:r w:rsidR="00D07EC9">
              <w:t xml:space="preserve">developing and implementing </w:t>
            </w:r>
            <w:r w:rsidR="006D171D">
              <w:t>new methods</w:t>
            </w:r>
            <w:r w:rsidR="0097108B">
              <w:t xml:space="preserve"> for doing better data management</w:t>
            </w:r>
            <w:r w:rsidR="006D171D">
              <w:t xml:space="preserve">. </w:t>
            </w:r>
            <w:r w:rsidR="0097108B">
              <w:t xml:space="preserve">Our guiding principle </w:t>
            </w:r>
            <w:r w:rsidR="00D07EC9">
              <w:t>is</w:t>
            </w:r>
            <w:r w:rsidR="0097108B">
              <w:t xml:space="preserve"> the belief that (a) </w:t>
            </w:r>
            <w:r w:rsidR="006D171D">
              <w:t xml:space="preserve">all projects </w:t>
            </w:r>
            <w:r w:rsidR="0097108B">
              <w:t xml:space="preserve">need </w:t>
            </w:r>
            <w:r w:rsidR="006D171D">
              <w:t>suppor</w:t>
            </w:r>
            <w:r w:rsidR="0097108B">
              <w:t>t</w:t>
            </w:r>
            <w:r w:rsidR="006D171D">
              <w:t xml:space="preserve"> for data management, whether funded </w:t>
            </w:r>
            <w:r w:rsidR="000B7B81">
              <w:t xml:space="preserve">explicitly </w:t>
            </w:r>
            <w:r w:rsidR="006D171D">
              <w:t>or not</w:t>
            </w:r>
            <w:r w:rsidR="000B7B81">
              <w:t xml:space="preserve"> and (b)</w:t>
            </w:r>
            <w:r w:rsidR="00D07EC9">
              <w:t xml:space="preserve"> n</w:t>
            </w:r>
            <w:r w:rsidR="006D171D">
              <w:t xml:space="preserve">o single project </w:t>
            </w:r>
            <w:r w:rsidR="00D07EC9">
              <w:t>should require</w:t>
            </w:r>
            <w:r w:rsidR="006D171D">
              <w:t xml:space="preserve"> more than 1 month of my time. The consequence of </w:t>
            </w:r>
            <w:r w:rsidR="0097108B">
              <w:t xml:space="preserve">this </w:t>
            </w:r>
            <w:r w:rsidR="00D07EC9">
              <w:t>is</w:t>
            </w:r>
            <w:r w:rsidR="0097108B">
              <w:t xml:space="preserve"> that the small projects </w:t>
            </w:r>
            <w:r w:rsidR="00D07EC9">
              <w:t xml:space="preserve">have generally been </w:t>
            </w:r>
            <w:r w:rsidR="0097108B">
              <w:t xml:space="preserve">the main beneficiaries of our inputs; the larger ones with better funding hired their </w:t>
            </w:r>
            <w:r w:rsidR="00D07EC9">
              <w:t xml:space="preserve">own </w:t>
            </w:r>
            <w:r w:rsidR="0097108B">
              <w:t xml:space="preserve">data management services. </w:t>
            </w:r>
            <w:r w:rsidR="00D07EC9">
              <w:t>For some of these larger projects this worked well, for some it did not. M</w:t>
            </w:r>
            <w:r w:rsidR="000B7B81">
              <w:t>y i</w:t>
            </w:r>
            <w:r w:rsidR="0097108B">
              <w:t xml:space="preserve">nteractions </w:t>
            </w:r>
            <w:r w:rsidR="000B7B81">
              <w:t xml:space="preserve">were more with </w:t>
            </w:r>
            <w:r>
              <w:t>those that already have problems</w:t>
            </w:r>
            <w:r w:rsidR="00C42D10">
              <w:t xml:space="preserve"> than those that were ok --</w:t>
            </w:r>
            <w:r w:rsidR="000B7B81">
              <w:t xml:space="preserve"> primarily to salvage datasets</w:t>
            </w:r>
            <w:r w:rsidR="0097108B">
              <w:t xml:space="preserve">. </w:t>
            </w:r>
          </w:p>
          <w:p w:rsidR="00C42D10" w:rsidRDefault="00C42D10" w:rsidP="00DE1650"/>
          <w:p w:rsidR="00575896" w:rsidRDefault="0097108B" w:rsidP="00DE1650">
            <w:r>
              <w:t xml:space="preserve">The geographical reach was </w:t>
            </w:r>
            <w:r w:rsidR="000B7B81">
              <w:t xml:space="preserve">also </w:t>
            </w:r>
            <w:r>
              <w:t xml:space="preserve">limited, </w:t>
            </w:r>
            <w:r w:rsidR="000B7B81">
              <w:t xml:space="preserve">support being better for HQ-based staff and other hosted institutions than for the outreach stations. This point was </w:t>
            </w:r>
            <w:r w:rsidR="00F42FB3">
              <w:t xml:space="preserve">the </w:t>
            </w:r>
            <w:r w:rsidR="000B7B81">
              <w:t xml:space="preserve">key to the early concept of a </w:t>
            </w:r>
            <w:r w:rsidR="00D07EC9">
              <w:t>cross-CG centre Research Methods Group, supporting CG centers in a region more efficiently</w:t>
            </w:r>
            <w:r w:rsidR="000B7B81">
              <w:t xml:space="preserve"> than a global unit which did not reach all our researchers.</w:t>
            </w:r>
          </w:p>
          <w:p w:rsidR="00BE2FBD" w:rsidRDefault="00BE2FBD" w:rsidP="00DE1650"/>
          <w:p w:rsidR="00BE2FBD" w:rsidRDefault="00BE2FBD" w:rsidP="00DE1650">
            <w:r>
              <w:t>I</w:t>
            </w:r>
            <w:r w:rsidR="00C42D10">
              <w:t xml:space="preserve"> have requested for a different mode of working in my new contract, to unlock more of this potential impact.</w:t>
            </w:r>
            <w:r>
              <w:t xml:space="preserve"> </w:t>
            </w:r>
          </w:p>
        </w:tc>
      </w:tr>
      <w:tr w:rsidR="00CA45F3" w:rsidTr="00DE1650">
        <w:tc>
          <w:tcPr>
            <w:tcW w:w="2988" w:type="dxa"/>
          </w:tcPr>
          <w:p w:rsidR="00CA45F3" w:rsidRPr="001D0465" w:rsidRDefault="00CA45F3" w:rsidP="00DE1650">
            <w:pPr>
              <w:rPr>
                <w:b/>
              </w:rPr>
            </w:pPr>
            <w:r>
              <w:rPr>
                <w:b/>
              </w:rPr>
              <w:t>Changes (if any) to Job Grade Classification  criteria</w:t>
            </w:r>
          </w:p>
        </w:tc>
        <w:tc>
          <w:tcPr>
            <w:tcW w:w="6588" w:type="dxa"/>
          </w:tcPr>
          <w:p w:rsidR="00CA45F3" w:rsidRDefault="00BF18B3" w:rsidP="00DE1650">
            <w:r>
              <w:t>None requested</w:t>
            </w:r>
          </w:p>
        </w:tc>
      </w:tr>
    </w:tbl>
    <w:p w:rsidR="001D0465" w:rsidRDefault="001D0465" w:rsidP="009D770C">
      <w:pPr>
        <w:rPr>
          <w:b/>
          <w:sz w:val="28"/>
          <w:szCs w:val="28"/>
        </w:rPr>
      </w:pPr>
    </w:p>
    <w:p w:rsidR="00CA45F3" w:rsidRPr="00821537" w:rsidRDefault="001D0465" w:rsidP="009D770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1E0"/>
      </w:tblPr>
      <w:tblGrid>
        <w:gridCol w:w="2988"/>
        <w:gridCol w:w="6588"/>
      </w:tblGrid>
      <w:tr w:rsidR="00CA45F3" w:rsidTr="00DE1650">
        <w:tc>
          <w:tcPr>
            <w:tcW w:w="9576" w:type="dxa"/>
            <w:gridSpan w:val="2"/>
          </w:tcPr>
          <w:p w:rsidR="00CA45F3" w:rsidRPr="002F6989" w:rsidRDefault="00CA45F3" w:rsidP="009D770C">
            <w:pPr>
              <w:rPr>
                <w:b/>
                <w:color w:val="0000FF"/>
                <w:sz w:val="28"/>
                <w:szCs w:val="28"/>
              </w:rPr>
            </w:pPr>
            <w:r w:rsidRPr="002F6989">
              <w:rPr>
                <w:b/>
                <w:color w:val="0000FF"/>
                <w:sz w:val="28"/>
                <w:szCs w:val="28"/>
              </w:rPr>
              <w:t>Part IV – Justification for Proposed Individual</w:t>
            </w:r>
          </w:p>
          <w:p w:rsidR="00CA45F3" w:rsidRPr="00CA45F3" w:rsidRDefault="00CA45F3" w:rsidP="009D770C">
            <w:pPr>
              <w:rPr>
                <w:i/>
              </w:rPr>
            </w:pPr>
            <w:r w:rsidRPr="002F6989">
              <w:rPr>
                <w:i/>
                <w:color w:val="0000FF"/>
              </w:rPr>
              <w:t>(to be completed by supervisor)</w:t>
            </w:r>
          </w:p>
        </w:tc>
      </w:tr>
      <w:tr w:rsidR="00CA45F3" w:rsidTr="002F6989">
        <w:tc>
          <w:tcPr>
            <w:tcW w:w="2988" w:type="dxa"/>
          </w:tcPr>
          <w:p w:rsidR="00CA45F3" w:rsidRDefault="002F6989" w:rsidP="009D770C">
            <w:pPr>
              <w:rPr>
                <w:b/>
              </w:rPr>
            </w:pPr>
            <w:r>
              <w:rPr>
                <w:b/>
              </w:rPr>
              <w:t>Statement on sole consideration</w:t>
            </w:r>
          </w:p>
          <w:p w:rsidR="002F6989" w:rsidRDefault="002F6989" w:rsidP="009D770C">
            <w:pPr>
              <w:rPr>
                <w:i/>
              </w:rPr>
            </w:pPr>
            <w:r w:rsidRPr="002F6989">
              <w:rPr>
                <w:i/>
              </w:rPr>
              <w:t>(explain why others are not being considered or position is not advertised)</w:t>
            </w:r>
          </w:p>
          <w:p w:rsidR="002F6989" w:rsidRDefault="002F6989" w:rsidP="009D770C">
            <w:pPr>
              <w:rPr>
                <w:i/>
              </w:rPr>
            </w:pPr>
          </w:p>
          <w:p w:rsidR="002F6989" w:rsidRPr="002F6989" w:rsidRDefault="002F6989" w:rsidP="009D770C">
            <w:pPr>
              <w:rPr>
                <w:i/>
              </w:rPr>
            </w:pPr>
          </w:p>
        </w:tc>
        <w:tc>
          <w:tcPr>
            <w:tcW w:w="6588" w:type="dxa"/>
          </w:tcPr>
          <w:p w:rsidR="001258BB" w:rsidRPr="00B96649" w:rsidRDefault="00403C3A" w:rsidP="009D770C">
            <w:r w:rsidRPr="00B96649">
              <w:t xml:space="preserve">Peter </w:t>
            </w:r>
            <w:r w:rsidR="001258BB" w:rsidRPr="00B96649">
              <w:t>gives 100% commitment to his work at ICRAF. He is always busy, productive and innovative. Areas that he is continually working to improve focus on communication and completion / documentation of RDM strategies and progress.</w:t>
            </w:r>
            <w:r w:rsidR="00B96649" w:rsidRPr="00B96649">
              <w:t xml:space="preserve"> See last Annual Performance Evaluation for more details.</w:t>
            </w:r>
            <w:r w:rsidR="001258BB" w:rsidRPr="00B96649">
              <w:t xml:space="preserve"> </w:t>
            </w:r>
          </w:p>
          <w:p w:rsidR="001258BB" w:rsidRPr="00B96649" w:rsidRDefault="001258BB" w:rsidP="009D770C"/>
          <w:p w:rsidR="006C0FB2" w:rsidRDefault="006C0FB2" w:rsidP="009D770C">
            <w:r>
              <w:t>Due to a delay in recruiting the new Co-Lead</w:t>
            </w:r>
            <w:r w:rsidR="001258BB" w:rsidRPr="00B96649">
              <w:t xml:space="preserve"> of the Research Methods Group it was agreed with the DDG-R (Tony Simons) and Peter that it was appropriate to apply for a 12month extension to the contract</w:t>
            </w:r>
            <w:r>
              <w:t xml:space="preserve"> (2009 – 2010)</w:t>
            </w:r>
            <w:r w:rsidR="001258BB" w:rsidRPr="00B96649">
              <w:t>.</w:t>
            </w:r>
            <w:r>
              <w:t xml:space="preserve"> The new co-lead should be in place by March/April 2010 but HR request this form to be presented before this date. We hope that the new co-lead and Peter will still have some time to work out priorities for the contract extension and possible change to the workplan and goals.</w:t>
            </w:r>
            <w:r w:rsidR="001258BB" w:rsidRPr="00B96649">
              <w:t xml:space="preserve"> </w:t>
            </w:r>
          </w:p>
          <w:p w:rsidR="00403C3A" w:rsidRPr="002F6989" w:rsidRDefault="001258BB" w:rsidP="009D770C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  <w:tr w:rsidR="00CA45F3" w:rsidTr="002F6989">
        <w:tc>
          <w:tcPr>
            <w:tcW w:w="2988" w:type="dxa"/>
          </w:tcPr>
          <w:p w:rsidR="00CA45F3" w:rsidRDefault="002F6989" w:rsidP="009D770C">
            <w:pPr>
              <w:rPr>
                <w:b/>
              </w:rPr>
            </w:pPr>
            <w:r>
              <w:rPr>
                <w:b/>
              </w:rPr>
              <w:t>Career development</w:t>
            </w:r>
          </w:p>
          <w:p w:rsidR="002F6989" w:rsidRPr="002F6989" w:rsidRDefault="002F6989" w:rsidP="009D770C">
            <w:pPr>
              <w:rPr>
                <w:i/>
              </w:rPr>
            </w:pPr>
            <w:r w:rsidRPr="002F6989">
              <w:rPr>
                <w:i/>
              </w:rPr>
              <w:t>(statement on career progression achievements</w:t>
            </w:r>
            <w:r>
              <w:rPr>
                <w:i/>
              </w:rPr>
              <w:t xml:space="preserve"> and opportunities, new responsibilities if being nominated for promotion</w:t>
            </w:r>
            <w:r w:rsidR="00233C6D">
              <w:rPr>
                <w:i/>
              </w:rPr>
              <w:t xml:space="preserve">, not req’d for direct hire </w:t>
            </w:r>
            <w:r w:rsidRPr="002F6989">
              <w:rPr>
                <w:i/>
              </w:rPr>
              <w:t>)</w:t>
            </w:r>
          </w:p>
        </w:tc>
        <w:tc>
          <w:tcPr>
            <w:tcW w:w="6588" w:type="dxa"/>
          </w:tcPr>
          <w:p w:rsidR="00CA45F3" w:rsidRPr="000E38B3" w:rsidRDefault="000E38B3" w:rsidP="009D770C">
            <w:r w:rsidRPr="000E38B3">
              <w:t>Unfortunately, the opportunity for career advancement via promotion is limited in this 1-year extension perio</w:t>
            </w:r>
            <w:r w:rsidR="006C0FB2">
              <w:t>d. It will be up to the new Co-Lead</w:t>
            </w:r>
            <w:r w:rsidRPr="000E38B3">
              <w:t xml:space="preserve"> of RMG to consider how best to develop this position (and Peter).</w:t>
            </w:r>
          </w:p>
        </w:tc>
      </w:tr>
      <w:tr w:rsidR="00CA45F3" w:rsidTr="002F6989">
        <w:tc>
          <w:tcPr>
            <w:tcW w:w="2988" w:type="dxa"/>
          </w:tcPr>
          <w:p w:rsidR="00CA45F3" w:rsidRDefault="002F6989" w:rsidP="009D770C">
            <w:pPr>
              <w:rPr>
                <w:b/>
              </w:rPr>
            </w:pPr>
            <w:r>
              <w:rPr>
                <w:b/>
              </w:rPr>
              <w:t>Contributions and overall attitude to centre</w:t>
            </w:r>
            <w:r w:rsidR="00DE1650">
              <w:rPr>
                <w:b/>
              </w:rPr>
              <w:t xml:space="preserve"> and its core values </w:t>
            </w:r>
            <w:r>
              <w:rPr>
                <w:b/>
              </w:rPr>
              <w:t>(professionalism, mutual respect, creativity</w:t>
            </w:r>
            <w:r w:rsidR="00DE1650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  <w:p w:rsidR="002F6989" w:rsidRDefault="002F6989" w:rsidP="009D770C">
            <w:pPr>
              <w:rPr>
                <w:b/>
              </w:rPr>
            </w:pPr>
          </w:p>
          <w:p w:rsidR="002F6989" w:rsidRDefault="002F6989" w:rsidP="009D770C">
            <w:pPr>
              <w:rPr>
                <w:b/>
              </w:rPr>
            </w:pPr>
          </w:p>
          <w:p w:rsidR="002F6989" w:rsidRDefault="002F6989" w:rsidP="009D770C">
            <w:pPr>
              <w:rPr>
                <w:b/>
              </w:rPr>
            </w:pPr>
          </w:p>
          <w:p w:rsidR="002F6989" w:rsidRDefault="002F6989" w:rsidP="009D770C">
            <w:pPr>
              <w:rPr>
                <w:b/>
              </w:rPr>
            </w:pPr>
          </w:p>
          <w:p w:rsidR="002F6989" w:rsidRPr="002F6989" w:rsidRDefault="002F6989" w:rsidP="009D770C">
            <w:pPr>
              <w:rPr>
                <w:b/>
              </w:rPr>
            </w:pPr>
          </w:p>
        </w:tc>
        <w:tc>
          <w:tcPr>
            <w:tcW w:w="6588" w:type="dxa"/>
          </w:tcPr>
          <w:p w:rsidR="00CA45F3" w:rsidRDefault="000E38B3" w:rsidP="009D770C">
            <w:pPr>
              <w:rPr>
                <w:b/>
              </w:rPr>
            </w:pPr>
            <w:r>
              <w:rPr>
                <w:b/>
              </w:rPr>
              <w:t xml:space="preserve">Professionalism – </w:t>
            </w:r>
            <w:r w:rsidRPr="000E38B3">
              <w:t>100% committed to</w:t>
            </w:r>
            <w:r>
              <w:t xml:space="preserve"> the groups and projects he works with. Represents ICRAF well by providing high quality support to FARA (via the SSA-CP)</w:t>
            </w:r>
          </w:p>
          <w:p w:rsidR="000E38B3" w:rsidRDefault="000E38B3" w:rsidP="009D770C">
            <w:r>
              <w:rPr>
                <w:b/>
              </w:rPr>
              <w:t xml:space="preserve">Mutual respect </w:t>
            </w:r>
            <w:r w:rsidRPr="000E38B3">
              <w:t>– forms good team</w:t>
            </w:r>
            <w:r>
              <w:t>-</w:t>
            </w:r>
            <w:r w:rsidRPr="000E38B3">
              <w:t xml:space="preserve">working / collegial </w:t>
            </w:r>
            <w:r>
              <w:t>relationships</w:t>
            </w:r>
            <w:r w:rsidRPr="000E38B3">
              <w:t xml:space="preserve"> with colleagues (examples: Mikkel Grum / Charles Masson – SSA-CP, Sonal Nagda / Nicholas Ndiwa – RMG, August Temu / </w:t>
            </w:r>
            <w:r w:rsidR="00C94431">
              <w:t>Kiwia</w:t>
            </w:r>
            <w:r w:rsidRPr="000E38B3">
              <w:t xml:space="preserve"> – ICRAF Partnerships Office)</w:t>
            </w:r>
          </w:p>
          <w:p w:rsidR="000E38B3" w:rsidRPr="002F6989" w:rsidRDefault="000E38B3" w:rsidP="009D770C">
            <w:pPr>
              <w:rPr>
                <w:b/>
              </w:rPr>
            </w:pPr>
            <w:r w:rsidRPr="000E38B3">
              <w:rPr>
                <w:b/>
              </w:rPr>
              <w:t>Creativity</w:t>
            </w:r>
            <w:r>
              <w:t xml:space="preserve"> – Highly innovative in approach to designing RDM strategies, while also considering the needs of the projects / researchers.</w:t>
            </w:r>
          </w:p>
        </w:tc>
      </w:tr>
      <w:tr w:rsidR="00CA45F3" w:rsidTr="002F6989">
        <w:tc>
          <w:tcPr>
            <w:tcW w:w="2988" w:type="dxa"/>
          </w:tcPr>
          <w:p w:rsidR="00CA45F3" w:rsidRDefault="00DE1650" w:rsidP="009D770C">
            <w:pPr>
              <w:rPr>
                <w:b/>
              </w:rPr>
            </w:pPr>
            <w:r>
              <w:rPr>
                <w:b/>
              </w:rPr>
              <w:t>Other relevant information</w:t>
            </w:r>
          </w:p>
          <w:p w:rsidR="002F6989" w:rsidRPr="002F6989" w:rsidRDefault="002F6989" w:rsidP="009D770C">
            <w:pPr>
              <w:rPr>
                <w:b/>
              </w:rPr>
            </w:pPr>
          </w:p>
        </w:tc>
        <w:tc>
          <w:tcPr>
            <w:tcW w:w="6588" w:type="dxa"/>
          </w:tcPr>
          <w:p w:rsidR="00CA45F3" w:rsidRPr="002F6989" w:rsidRDefault="00CA45F3" w:rsidP="009D770C">
            <w:pPr>
              <w:rPr>
                <w:b/>
              </w:rPr>
            </w:pPr>
          </w:p>
        </w:tc>
      </w:tr>
      <w:tr w:rsidR="00CA45F3" w:rsidTr="002F6989">
        <w:tc>
          <w:tcPr>
            <w:tcW w:w="2988" w:type="dxa"/>
          </w:tcPr>
          <w:p w:rsidR="00CA45F3" w:rsidRDefault="00DF2196" w:rsidP="009D770C">
            <w:pPr>
              <w:rPr>
                <w:b/>
              </w:rPr>
            </w:pPr>
            <w:r>
              <w:rPr>
                <w:b/>
              </w:rPr>
              <w:t xml:space="preserve">Independent </w:t>
            </w:r>
            <w:r w:rsidR="00DE1650">
              <w:rPr>
                <w:b/>
              </w:rPr>
              <w:t>endorsement</w:t>
            </w:r>
          </w:p>
          <w:p w:rsidR="002F6989" w:rsidRPr="002F6989" w:rsidRDefault="00DE1650" w:rsidP="009D770C">
            <w:pPr>
              <w:rPr>
                <w:b/>
              </w:rPr>
            </w:pPr>
            <w:r w:rsidRPr="00DE1650">
              <w:rPr>
                <w:i/>
              </w:rPr>
              <w:t>(list three individuals who can provide balanced feedback on individual’s suitability</w:t>
            </w:r>
            <w:r w:rsidR="004B450E">
              <w:rPr>
                <w:i/>
              </w:rPr>
              <w:t>, or justification for direct hire of position</w:t>
            </w:r>
            <w:r w:rsidRPr="00DE1650">
              <w:rPr>
                <w:i/>
              </w:rPr>
              <w:t>)</w:t>
            </w:r>
          </w:p>
        </w:tc>
        <w:tc>
          <w:tcPr>
            <w:tcW w:w="6588" w:type="dxa"/>
          </w:tcPr>
          <w:p w:rsidR="00CA45F3" w:rsidRDefault="00DE1650" w:rsidP="009D770C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</w:rPr>
                  <w:t>1.</w:t>
                </w:r>
                <w:r w:rsidR="00B96649">
                  <w:rPr>
                    <w:b/>
                  </w:rPr>
                  <w:t xml:space="preserve"> Frank Place</w:t>
                </w:r>
              </w:smartTag>
            </w:smartTag>
            <w:r w:rsidR="00B96649">
              <w:rPr>
                <w:b/>
              </w:rPr>
              <w:t xml:space="preserve"> (ICRAF, co-supervisor from Jan</w:t>
            </w:r>
            <w:r w:rsidR="000E38B3">
              <w:rPr>
                <w:b/>
              </w:rPr>
              <w:t>uary</w:t>
            </w:r>
            <w:r w:rsidR="00B96649">
              <w:rPr>
                <w:b/>
              </w:rPr>
              <w:t xml:space="preserve"> 2009)</w:t>
            </w:r>
          </w:p>
          <w:p w:rsidR="00DE1650" w:rsidRDefault="00DE1650" w:rsidP="009D770C">
            <w:pPr>
              <w:rPr>
                <w:b/>
              </w:rPr>
            </w:pPr>
          </w:p>
          <w:p w:rsidR="00DE1650" w:rsidRDefault="00DE1650" w:rsidP="009D770C">
            <w:pPr>
              <w:rPr>
                <w:b/>
              </w:rPr>
            </w:pPr>
            <w:r>
              <w:rPr>
                <w:b/>
              </w:rPr>
              <w:t>2.</w:t>
            </w:r>
            <w:r w:rsidR="00B96649">
              <w:rPr>
                <w:b/>
              </w:rPr>
              <w:t xml:space="preserve"> August Temu</w:t>
            </w:r>
          </w:p>
          <w:p w:rsidR="00DE1650" w:rsidRDefault="00DE1650" w:rsidP="009D770C">
            <w:pPr>
              <w:rPr>
                <w:b/>
              </w:rPr>
            </w:pPr>
          </w:p>
          <w:p w:rsidR="00DE1650" w:rsidRDefault="00DE1650" w:rsidP="009D770C">
            <w:pPr>
              <w:rPr>
                <w:b/>
              </w:rPr>
            </w:pPr>
            <w:r>
              <w:rPr>
                <w:b/>
              </w:rPr>
              <w:t>3.</w:t>
            </w:r>
            <w:r w:rsidR="00B96649">
              <w:rPr>
                <w:b/>
              </w:rPr>
              <w:t xml:space="preserve"> Mikkel Grum (Bioversity, collaborator for SSA-CP)</w:t>
            </w:r>
          </w:p>
          <w:p w:rsidR="00DE1650" w:rsidRPr="002F6989" w:rsidRDefault="00DE1650" w:rsidP="009D770C">
            <w:pPr>
              <w:rPr>
                <w:b/>
              </w:rPr>
            </w:pPr>
          </w:p>
        </w:tc>
      </w:tr>
    </w:tbl>
    <w:p w:rsidR="009D770C" w:rsidRPr="00821537" w:rsidRDefault="009D770C" w:rsidP="009D770C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2988"/>
        <w:gridCol w:w="6588"/>
      </w:tblGrid>
      <w:tr w:rsidR="0081588B" w:rsidTr="0081588B">
        <w:tc>
          <w:tcPr>
            <w:tcW w:w="2988" w:type="dxa"/>
          </w:tcPr>
          <w:p w:rsidR="0057368C" w:rsidRDefault="0057368C">
            <w:pPr>
              <w:rPr>
                <w:b/>
                <w:color w:val="0000FF"/>
              </w:rPr>
            </w:pPr>
          </w:p>
          <w:p w:rsidR="0081588B" w:rsidRPr="00F63586" w:rsidRDefault="0081588B">
            <w:pPr>
              <w:rPr>
                <w:b/>
                <w:color w:val="0000FF"/>
              </w:rPr>
            </w:pPr>
            <w:r w:rsidRPr="00F63586">
              <w:rPr>
                <w:b/>
                <w:color w:val="0000FF"/>
              </w:rPr>
              <w:t>Date:</w:t>
            </w:r>
            <w:r w:rsidR="0057368C">
              <w:rPr>
                <w:b/>
                <w:color w:val="0000FF"/>
              </w:rPr>
              <w:t xml:space="preserve"> </w:t>
            </w:r>
          </w:p>
        </w:tc>
        <w:tc>
          <w:tcPr>
            <w:tcW w:w="6588" w:type="dxa"/>
          </w:tcPr>
          <w:p w:rsidR="0081588B" w:rsidRPr="00F63586" w:rsidRDefault="0081588B">
            <w:pPr>
              <w:rPr>
                <w:b/>
                <w:color w:val="0000FF"/>
              </w:rPr>
            </w:pPr>
            <w:r w:rsidRPr="00F63586">
              <w:rPr>
                <w:b/>
                <w:color w:val="0000FF"/>
              </w:rPr>
              <w:t>Signature:</w:t>
            </w:r>
            <w:r w:rsidR="0057368C">
              <w:rPr>
                <w:b/>
                <w:color w:val="0000FF"/>
              </w:rPr>
              <w:t xml:space="preserve"> </w:t>
            </w:r>
            <w:r w:rsidR="005B7B8A">
              <w:rPr>
                <w:b/>
                <w:noProof/>
                <w:color w:val="0000FF"/>
              </w:rPr>
              <w:drawing>
                <wp:inline distT="0" distB="0" distL="0" distR="0">
                  <wp:extent cx="1000125" cy="361950"/>
                  <wp:effectExtent l="19050" t="0" r="9525" b="0"/>
                  <wp:docPr id="2" name="Picture 2" descr="Signa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na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68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70C" w:rsidRPr="00821537" w:rsidRDefault="009D770C" w:rsidP="000E38B3"/>
    <w:sectPr w:rsidR="009D770C" w:rsidRPr="00821537" w:rsidSect="00821537">
      <w:pgSz w:w="12240" w:h="15840"/>
      <w:pgMar w:top="129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ABE"/>
    <w:multiLevelType w:val="hybridMultilevel"/>
    <w:tmpl w:val="995E4366"/>
    <w:lvl w:ilvl="0" w:tplc="FD7C17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F16BE3"/>
    <w:multiLevelType w:val="hybridMultilevel"/>
    <w:tmpl w:val="86C0DAC2"/>
    <w:lvl w:ilvl="0" w:tplc="DC1491C2">
      <w:start w:val="1"/>
      <w:numFmt w:val="bullet"/>
      <w:lvlText w:val=""/>
      <w:lvlJc w:val="left"/>
      <w:pPr>
        <w:tabs>
          <w:tab w:val="num" w:pos="756"/>
        </w:tabs>
        <w:ind w:left="756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977EB6"/>
    <w:multiLevelType w:val="hybridMultilevel"/>
    <w:tmpl w:val="CF4E6CBA"/>
    <w:lvl w:ilvl="0" w:tplc="4A2E1CAC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outline/>
        <w:emboss w:val="0"/>
        <w:imprint w:val="0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7A6FA2"/>
    <w:multiLevelType w:val="multilevel"/>
    <w:tmpl w:val="86C0DAC2"/>
    <w:lvl w:ilvl="0">
      <w:start w:val="1"/>
      <w:numFmt w:val="bullet"/>
      <w:lvlText w:val=""/>
      <w:lvlJc w:val="left"/>
      <w:pPr>
        <w:tabs>
          <w:tab w:val="num" w:pos="756"/>
        </w:tabs>
        <w:ind w:left="756" w:hanging="39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8757F0"/>
    <w:multiLevelType w:val="multilevel"/>
    <w:tmpl w:val="AAAC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C50317"/>
    <w:multiLevelType w:val="hybridMultilevel"/>
    <w:tmpl w:val="6B1ECE92"/>
    <w:lvl w:ilvl="0" w:tplc="4A2E1CAC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outline/>
        <w:emboss w:val="0"/>
        <w:imprint w:val="0"/>
        <w:color w:val="auto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compat/>
  <w:rsids>
    <w:rsidRoot w:val="00821537"/>
    <w:rsid w:val="00007353"/>
    <w:rsid w:val="0001731D"/>
    <w:rsid w:val="00091C29"/>
    <w:rsid w:val="0009581D"/>
    <w:rsid w:val="000B7B81"/>
    <w:rsid w:val="000E38B3"/>
    <w:rsid w:val="00107073"/>
    <w:rsid w:val="001258BB"/>
    <w:rsid w:val="0016606E"/>
    <w:rsid w:val="001B29ED"/>
    <w:rsid w:val="001D0465"/>
    <w:rsid w:val="00233C6D"/>
    <w:rsid w:val="00281259"/>
    <w:rsid w:val="00290674"/>
    <w:rsid w:val="002F6989"/>
    <w:rsid w:val="0035666D"/>
    <w:rsid w:val="0036002B"/>
    <w:rsid w:val="003A5587"/>
    <w:rsid w:val="00403C3A"/>
    <w:rsid w:val="00424F5E"/>
    <w:rsid w:val="004B450E"/>
    <w:rsid w:val="004D392E"/>
    <w:rsid w:val="00524D57"/>
    <w:rsid w:val="00546DB2"/>
    <w:rsid w:val="0057368C"/>
    <w:rsid w:val="00575896"/>
    <w:rsid w:val="00596D10"/>
    <w:rsid w:val="005B7B8A"/>
    <w:rsid w:val="00676C7E"/>
    <w:rsid w:val="006C0FB2"/>
    <w:rsid w:val="006D171D"/>
    <w:rsid w:val="00722EB0"/>
    <w:rsid w:val="007F6E90"/>
    <w:rsid w:val="0081588B"/>
    <w:rsid w:val="00821537"/>
    <w:rsid w:val="008E2653"/>
    <w:rsid w:val="0090172E"/>
    <w:rsid w:val="00905B94"/>
    <w:rsid w:val="009334F6"/>
    <w:rsid w:val="0094052D"/>
    <w:rsid w:val="0097108B"/>
    <w:rsid w:val="009D770C"/>
    <w:rsid w:val="00AC167F"/>
    <w:rsid w:val="00AC6763"/>
    <w:rsid w:val="00AE3FE9"/>
    <w:rsid w:val="00B10F27"/>
    <w:rsid w:val="00B84BD6"/>
    <w:rsid w:val="00B96649"/>
    <w:rsid w:val="00BE2FBD"/>
    <w:rsid w:val="00BF18B3"/>
    <w:rsid w:val="00C20CF4"/>
    <w:rsid w:val="00C42D10"/>
    <w:rsid w:val="00C67CCC"/>
    <w:rsid w:val="00C94431"/>
    <w:rsid w:val="00CA45F3"/>
    <w:rsid w:val="00D07EC9"/>
    <w:rsid w:val="00D93B9E"/>
    <w:rsid w:val="00DE1650"/>
    <w:rsid w:val="00DF2196"/>
    <w:rsid w:val="00E70FEE"/>
    <w:rsid w:val="00EA23F7"/>
    <w:rsid w:val="00ED1545"/>
    <w:rsid w:val="00F032F5"/>
    <w:rsid w:val="00F42FB3"/>
    <w:rsid w:val="00F63586"/>
    <w:rsid w:val="00FF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21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D07EC9"/>
    <w:rPr>
      <w:sz w:val="16"/>
      <w:szCs w:val="16"/>
    </w:rPr>
  </w:style>
  <w:style w:type="paragraph" w:styleId="CommentText">
    <w:name w:val="annotation text"/>
    <w:basedOn w:val="Normal"/>
    <w:semiHidden/>
    <w:rsid w:val="00D07EC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07EC9"/>
    <w:rPr>
      <w:b/>
      <w:bCs/>
    </w:rPr>
  </w:style>
  <w:style w:type="paragraph" w:styleId="BalloonText">
    <w:name w:val="Balloon Text"/>
    <w:basedOn w:val="Normal"/>
    <w:semiHidden/>
    <w:rsid w:val="00D0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form for contract renewal, direct hire and grade reappointment</vt:lpstr>
    </vt:vector>
  </TitlesOfParts>
  <Company>ICRAF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 for contract renewal, direct hire and grade reappointment</dc:title>
  <dc:subject/>
  <dc:creator>tsimons</dc:creator>
  <cp:keywords/>
  <dc:description/>
  <cp:lastModifiedBy>pmuraya</cp:lastModifiedBy>
  <cp:revision>2</cp:revision>
  <cp:lastPrinted>2009-05-06T06:35:00Z</cp:lastPrinted>
  <dcterms:created xsi:type="dcterms:W3CDTF">2010-02-01T09:41:00Z</dcterms:created>
  <dcterms:modified xsi:type="dcterms:W3CDTF">2010-02-01T09:41:00Z</dcterms:modified>
</cp:coreProperties>
</file>